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20" w:rsidRPr="009C2C89" w:rsidRDefault="00472120" w:rsidP="00472120">
      <w:pPr>
        <w:spacing w:line="276" w:lineRule="auto"/>
        <w:jc w:val="both"/>
        <w:rPr>
          <w:rFonts w:ascii="Century Gothic" w:hAnsi="Century Gothic"/>
          <w:i/>
          <w:color w:val="FF0000"/>
          <w:szCs w:val="24"/>
        </w:rPr>
      </w:pPr>
    </w:p>
    <w:p w:rsidR="00472120" w:rsidRPr="00294379" w:rsidRDefault="00472120" w:rsidP="00472120">
      <w:pPr>
        <w:jc w:val="both"/>
      </w:pPr>
    </w:p>
    <w:p w:rsidR="00472120" w:rsidRDefault="00472120" w:rsidP="00472120">
      <w:pPr>
        <w:jc w:val="both"/>
        <w:rPr>
          <w:rFonts w:ascii="Century Gothic" w:hAnsi="Century Gothic"/>
          <w:i/>
          <w:szCs w:val="24"/>
        </w:rPr>
      </w:pPr>
    </w:p>
    <w:p w:rsidR="00472120" w:rsidRDefault="00472120" w:rsidP="00472120">
      <w:pPr>
        <w:rPr>
          <w:rFonts w:ascii="Century Gothic" w:hAnsi="Century Gothic"/>
          <w:i/>
          <w:szCs w:val="24"/>
        </w:rPr>
      </w:pPr>
      <w:proofErr w:type="spellStart"/>
      <w:r w:rsidRPr="00472120">
        <w:rPr>
          <w:rFonts w:ascii="Century Gothic" w:hAnsi="Century Gothic"/>
          <w:i/>
          <w:szCs w:val="24"/>
        </w:rPr>
        <w:t>Artziniega</w:t>
      </w:r>
      <w:proofErr w:type="spellEnd"/>
      <w:r w:rsidRPr="00472120">
        <w:rPr>
          <w:rFonts w:ascii="Century Gothic" w:hAnsi="Century Gothic"/>
          <w:i/>
          <w:szCs w:val="24"/>
        </w:rPr>
        <w:t xml:space="preserve">, 2021eko </w:t>
      </w:r>
      <w:proofErr w:type="spellStart"/>
      <w:r w:rsidRPr="00472120">
        <w:rPr>
          <w:rFonts w:ascii="Century Gothic" w:hAnsi="Century Gothic"/>
          <w:i/>
          <w:szCs w:val="24"/>
        </w:rPr>
        <w:t>abenduaren</w:t>
      </w:r>
      <w:proofErr w:type="spellEnd"/>
      <w:r w:rsidRPr="00472120">
        <w:rPr>
          <w:rFonts w:ascii="Century Gothic" w:hAnsi="Century Gothic"/>
          <w:i/>
          <w:szCs w:val="24"/>
        </w:rPr>
        <w:t xml:space="preserve"> 17a</w:t>
      </w:r>
    </w:p>
    <w:p w:rsidR="00472120" w:rsidRPr="001917BA" w:rsidRDefault="00472120" w:rsidP="00472120"/>
    <w:p w:rsidR="00472120" w:rsidRPr="00472120" w:rsidRDefault="00472120" w:rsidP="00472120">
      <w:pPr>
        <w:jc w:val="both"/>
        <w:rPr>
          <w:rFonts w:ascii="Tahoma" w:hAnsi="Tahoma" w:cs="Tahoma"/>
          <w:b/>
          <w:bCs/>
          <w:sz w:val="44"/>
          <w:szCs w:val="40"/>
        </w:rPr>
      </w:pPr>
      <w:proofErr w:type="spellStart"/>
      <w:r w:rsidRPr="00472120">
        <w:rPr>
          <w:rFonts w:ascii="Tahoma" w:hAnsi="Tahoma" w:cs="Tahoma"/>
          <w:b/>
          <w:bCs/>
          <w:sz w:val="44"/>
          <w:szCs w:val="40"/>
        </w:rPr>
        <w:t>Artziniega</w:t>
      </w:r>
      <w:proofErr w:type="spellEnd"/>
      <w:r w:rsidRPr="00472120">
        <w:rPr>
          <w:rFonts w:ascii="Tahoma" w:hAnsi="Tahoma" w:cs="Tahoma"/>
          <w:b/>
          <w:bCs/>
          <w:sz w:val="44"/>
          <w:szCs w:val="40"/>
        </w:rPr>
        <w:t xml:space="preserve"> </w:t>
      </w:r>
      <w:proofErr w:type="spellStart"/>
      <w:r w:rsidRPr="00472120">
        <w:rPr>
          <w:rFonts w:ascii="Tahoma" w:hAnsi="Tahoma" w:cs="Tahoma"/>
          <w:b/>
          <w:bCs/>
          <w:sz w:val="44"/>
          <w:szCs w:val="40"/>
        </w:rPr>
        <w:t>Ur</w:t>
      </w:r>
      <w:proofErr w:type="spellEnd"/>
      <w:r w:rsidRPr="00472120">
        <w:rPr>
          <w:rFonts w:ascii="Tahoma" w:hAnsi="Tahoma" w:cs="Tahoma"/>
          <w:b/>
          <w:bCs/>
          <w:sz w:val="44"/>
          <w:szCs w:val="40"/>
        </w:rPr>
        <w:t xml:space="preserve"> </w:t>
      </w:r>
      <w:proofErr w:type="spellStart"/>
      <w:r w:rsidRPr="00472120">
        <w:rPr>
          <w:rFonts w:ascii="Tahoma" w:hAnsi="Tahoma" w:cs="Tahoma"/>
          <w:b/>
          <w:bCs/>
          <w:sz w:val="44"/>
          <w:szCs w:val="40"/>
        </w:rPr>
        <w:t>Partzuergoan</w:t>
      </w:r>
      <w:proofErr w:type="spellEnd"/>
      <w:r w:rsidRPr="00472120">
        <w:rPr>
          <w:rFonts w:ascii="Tahoma" w:hAnsi="Tahoma" w:cs="Tahoma"/>
          <w:b/>
          <w:bCs/>
          <w:sz w:val="44"/>
          <w:szCs w:val="40"/>
        </w:rPr>
        <w:t xml:space="preserve"> </w:t>
      </w:r>
      <w:proofErr w:type="spellStart"/>
      <w:r w:rsidRPr="00472120">
        <w:rPr>
          <w:rFonts w:ascii="Tahoma" w:hAnsi="Tahoma" w:cs="Tahoma"/>
          <w:b/>
          <w:bCs/>
          <w:sz w:val="44"/>
          <w:szCs w:val="40"/>
        </w:rPr>
        <w:t>sartzea</w:t>
      </w:r>
      <w:proofErr w:type="spellEnd"/>
      <w:r w:rsidRPr="00472120">
        <w:rPr>
          <w:rFonts w:ascii="Tahoma" w:hAnsi="Tahoma" w:cs="Tahoma"/>
          <w:b/>
          <w:bCs/>
          <w:sz w:val="44"/>
          <w:szCs w:val="40"/>
        </w:rPr>
        <w:t xml:space="preserve"> </w:t>
      </w:r>
      <w:proofErr w:type="spellStart"/>
      <w:r w:rsidRPr="00472120">
        <w:rPr>
          <w:rFonts w:ascii="Tahoma" w:hAnsi="Tahoma" w:cs="Tahoma"/>
          <w:b/>
          <w:bCs/>
          <w:sz w:val="44"/>
          <w:szCs w:val="40"/>
        </w:rPr>
        <w:t>babestu</w:t>
      </w:r>
      <w:proofErr w:type="spellEnd"/>
      <w:r w:rsidRPr="00472120">
        <w:rPr>
          <w:rFonts w:ascii="Tahoma" w:hAnsi="Tahoma" w:cs="Tahoma"/>
          <w:b/>
          <w:bCs/>
          <w:sz w:val="44"/>
          <w:szCs w:val="40"/>
        </w:rPr>
        <w:t xml:space="preserve"> du EAJ-</w:t>
      </w:r>
      <w:proofErr w:type="spellStart"/>
      <w:r w:rsidRPr="00472120">
        <w:rPr>
          <w:rFonts w:ascii="Tahoma" w:hAnsi="Tahoma" w:cs="Tahoma"/>
          <w:b/>
          <w:bCs/>
          <w:sz w:val="44"/>
          <w:szCs w:val="40"/>
        </w:rPr>
        <w:t>PNVk</w:t>
      </w:r>
      <w:proofErr w:type="spellEnd"/>
      <w:r w:rsidRPr="00472120">
        <w:rPr>
          <w:rFonts w:ascii="Tahoma" w:hAnsi="Tahoma" w:cs="Tahoma"/>
          <w:b/>
          <w:bCs/>
          <w:sz w:val="44"/>
          <w:szCs w:val="40"/>
        </w:rPr>
        <w:t xml:space="preserve">, </w:t>
      </w:r>
      <w:proofErr w:type="spellStart"/>
      <w:r w:rsidRPr="00472120">
        <w:rPr>
          <w:rFonts w:ascii="Tahoma" w:hAnsi="Tahoma" w:cs="Tahoma"/>
          <w:b/>
          <w:bCs/>
          <w:sz w:val="44"/>
          <w:szCs w:val="40"/>
        </w:rPr>
        <w:t>herritarrei</w:t>
      </w:r>
      <w:proofErr w:type="spellEnd"/>
      <w:r w:rsidRPr="00472120">
        <w:rPr>
          <w:rFonts w:ascii="Tahoma" w:hAnsi="Tahoma" w:cs="Tahoma"/>
          <w:b/>
          <w:bCs/>
          <w:sz w:val="44"/>
          <w:szCs w:val="40"/>
        </w:rPr>
        <w:t xml:space="preserve"> </w:t>
      </w:r>
      <w:proofErr w:type="spellStart"/>
      <w:r w:rsidRPr="00472120">
        <w:rPr>
          <w:rFonts w:ascii="Tahoma" w:hAnsi="Tahoma" w:cs="Tahoma"/>
          <w:b/>
          <w:bCs/>
          <w:sz w:val="44"/>
          <w:szCs w:val="40"/>
        </w:rPr>
        <w:t>kalitatezko</w:t>
      </w:r>
      <w:proofErr w:type="spellEnd"/>
      <w:r w:rsidRPr="00472120">
        <w:rPr>
          <w:rFonts w:ascii="Tahoma" w:hAnsi="Tahoma" w:cs="Tahoma"/>
          <w:b/>
          <w:bCs/>
          <w:sz w:val="44"/>
          <w:szCs w:val="40"/>
        </w:rPr>
        <w:t xml:space="preserve"> </w:t>
      </w:r>
      <w:proofErr w:type="spellStart"/>
      <w:r w:rsidRPr="00472120">
        <w:rPr>
          <w:rFonts w:ascii="Tahoma" w:hAnsi="Tahoma" w:cs="Tahoma"/>
          <w:b/>
          <w:bCs/>
          <w:sz w:val="44"/>
          <w:szCs w:val="40"/>
        </w:rPr>
        <w:t>zerbitzua</w:t>
      </w:r>
      <w:proofErr w:type="spellEnd"/>
      <w:r w:rsidRPr="00472120">
        <w:rPr>
          <w:rFonts w:ascii="Tahoma" w:hAnsi="Tahoma" w:cs="Tahoma"/>
          <w:b/>
          <w:bCs/>
          <w:sz w:val="44"/>
          <w:szCs w:val="40"/>
        </w:rPr>
        <w:t xml:space="preserve"> </w:t>
      </w:r>
      <w:proofErr w:type="spellStart"/>
      <w:r w:rsidRPr="00472120">
        <w:rPr>
          <w:rFonts w:ascii="Tahoma" w:hAnsi="Tahoma" w:cs="Tahoma"/>
          <w:b/>
          <w:bCs/>
          <w:sz w:val="44"/>
          <w:szCs w:val="40"/>
        </w:rPr>
        <w:t>bermatzeko</w:t>
      </w:r>
      <w:proofErr w:type="spellEnd"/>
    </w:p>
    <w:p w:rsidR="00472120" w:rsidRPr="00584FAE" w:rsidRDefault="00472120" w:rsidP="00472120"/>
    <w:p w:rsidR="00472120" w:rsidRPr="00472120" w:rsidRDefault="00472120" w:rsidP="00472120">
      <w:pPr>
        <w:pStyle w:val="Prrafodelista"/>
        <w:numPr>
          <w:ilvl w:val="0"/>
          <w:numId w:val="2"/>
        </w:numPr>
        <w:jc w:val="both"/>
        <w:rPr>
          <w:rFonts w:ascii="Tahoma" w:eastAsia="Calibri" w:hAnsi="Tahoma" w:cs="Tahoma"/>
          <w:bCs/>
          <w:i/>
          <w:sz w:val="28"/>
          <w:szCs w:val="28"/>
          <w:lang w:val="es-ES_tradnl"/>
        </w:rPr>
      </w:pPr>
      <w:proofErr w:type="spellStart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>Ezohiko</w:t>
      </w:r>
      <w:proofErr w:type="spellEnd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 xml:space="preserve"> </w:t>
      </w:r>
      <w:proofErr w:type="spellStart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>osoko</w:t>
      </w:r>
      <w:proofErr w:type="spellEnd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 xml:space="preserve"> </w:t>
      </w:r>
      <w:proofErr w:type="spellStart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>bilkuran</w:t>
      </w:r>
      <w:proofErr w:type="spellEnd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 xml:space="preserve">, </w:t>
      </w:r>
      <w:proofErr w:type="spellStart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>alderdi</w:t>
      </w:r>
      <w:proofErr w:type="spellEnd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 xml:space="preserve"> </w:t>
      </w:r>
      <w:proofErr w:type="spellStart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>jeltzaleak</w:t>
      </w:r>
      <w:proofErr w:type="spellEnd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 xml:space="preserve"> </w:t>
      </w:r>
      <w:proofErr w:type="spellStart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>udalerria</w:t>
      </w:r>
      <w:proofErr w:type="spellEnd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 xml:space="preserve"> </w:t>
      </w:r>
      <w:proofErr w:type="spellStart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>uraren</w:t>
      </w:r>
      <w:proofErr w:type="spellEnd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 xml:space="preserve"> </w:t>
      </w:r>
      <w:proofErr w:type="spellStart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>kudeatzaile</w:t>
      </w:r>
      <w:proofErr w:type="spellEnd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 xml:space="preserve"> </w:t>
      </w:r>
      <w:proofErr w:type="spellStart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>espezializatu</w:t>
      </w:r>
      <w:proofErr w:type="spellEnd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 xml:space="preserve"> batean </w:t>
      </w:r>
      <w:proofErr w:type="spellStart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>sartzearen</w:t>
      </w:r>
      <w:proofErr w:type="spellEnd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 xml:space="preserve"> </w:t>
      </w:r>
      <w:proofErr w:type="spellStart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>aldeko</w:t>
      </w:r>
      <w:proofErr w:type="spellEnd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 xml:space="preserve"> jarrera </w:t>
      </w:r>
      <w:proofErr w:type="spellStart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>agertu</w:t>
      </w:r>
      <w:proofErr w:type="spellEnd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 xml:space="preserve"> </w:t>
      </w:r>
      <w:proofErr w:type="spellStart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>zuen</w:t>
      </w:r>
      <w:proofErr w:type="spellEnd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 xml:space="preserve">, </w:t>
      </w:r>
      <w:proofErr w:type="spellStart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>herritarrentzat</w:t>
      </w:r>
      <w:proofErr w:type="spellEnd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 xml:space="preserve"> </w:t>
      </w:r>
      <w:proofErr w:type="spellStart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>hain</w:t>
      </w:r>
      <w:proofErr w:type="spellEnd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 xml:space="preserve"> </w:t>
      </w:r>
      <w:proofErr w:type="spellStart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>garrantzitsua</w:t>
      </w:r>
      <w:proofErr w:type="spellEnd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 xml:space="preserve"> den </w:t>
      </w:r>
      <w:proofErr w:type="spellStart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>zerbitzu</w:t>
      </w:r>
      <w:proofErr w:type="spellEnd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 xml:space="preserve"> </w:t>
      </w:r>
      <w:proofErr w:type="spellStart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>horretan</w:t>
      </w:r>
      <w:proofErr w:type="spellEnd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 xml:space="preserve"> </w:t>
      </w:r>
      <w:proofErr w:type="spellStart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>eraginkortasun</w:t>
      </w:r>
      <w:proofErr w:type="spellEnd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 xml:space="preserve"> </w:t>
      </w:r>
      <w:proofErr w:type="spellStart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>handiagoa</w:t>
      </w:r>
      <w:proofErr w:type="spellEnd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 xml:space="preserve"> </w:t>
      </w:r>
      <w:proofErr w:type="spellStart"/>
      <w:r w:rsidRPr="00472120">
        <w:rPr>
          <w:rFonts w:ascii="Tahoma" w:eastAsia="Calibri" w:hAnsi="Tahoma" w:cs="Tahoma"/>
          <w:bCs/>
          <w:i/>
          <w:sz w:val="28"/>
          <w:szCs w:val="28"/>
          <w:lang w:val="es-ES_tradnl"/>
        </w:rPr>
        <w:t>lortzeko</w:t>
      </w:r>
      <w:proofErr w:type="spellEnd"/>
    </w:p>
    <w:p w:rsidR="00472120" w:rsidRPr="00584FAE" w:rsidRDefault="00472120" w:rsidP="00472120">
      <w:pPr>
        <w:pStyle w:val="Prrafodelista"/>
        <w:jc w:val="both"/>
        <w:rPr>
          <w:rFonts w:ascii="Tahoma" w:hAnsi="Tahoma" w:cs="Tahoma"/>
          <w:bCs/>
        </w:rPr>
      </w:pPr>
    </w:p>
    <w:p w:rsidR="00472120" w:rsidRPr="00472120" w:rsidRDefault="00472120" w:rsidP="00472120">
      <w:pPr>
        <w:spacing w:line="360" w:lineRule="auto"/>
        <w:jc w:val="both"/>
        <w:rPr>
          <w:rFonts w:ascii="Tahoma" w:hAnsi="Tahoma" w:cs="Tahoma"/>
          <w:bCs/>
        </w:rPr>
      </w:pPr>
      <w:r w:rsidRPr="00472120">
        <w:rPr>
          <w:rFonts w:ascii="Tahoma" w:hAnsi="Tahoma" w:cs="Tahoma"/>
          <w:bCs/>
        </w:rPr>
        <w:t xml:space="preserve">Joan den </w:t>
      </w:r>
      <w:proofErr w:type="spellStart"/>
      <w:r w:rsidRPr="00472120">
        <w:rPr>
          <w:rFonts w:ascii="Tahoma" w:hAnsi="Tahoma" w:cs="Tahoma"/>
          <w:bCs/>
        </w:rPr>
        <w:t>astelehenean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abenduak</w:t>
      </w:r>
      <w:proofErr w:type="spellEnd"/>
      <w:r w:rsidRPr="00472120">
        <w:rPr>
          <w:rFonts w:ascii="Tahoma" w:hAnsi="Tahoma" w:cs="Tahoma"/>
          <w:bCs/>
        </w:rPr>
        <w:t xml:space="preserve"> 13, </w:t>
      </w:r>
      <w:proofErr w:type="spellStart"/>
      <w:r w:rsidRPr="00472120">
        <w:rPr>
          <w:rFonts w:ascii="Tahoma" w:hAnsi="Tahoma" w:cs="Tahoma"/>
          <w:bCs/>
        </w:rPr>
        <w:t>ezohiko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osoko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bilkura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egin</w:t>
      </w:r>
      <w:proofErr w:type="spellEnd"/>
      <w:r w:rsidRPr="00472120">
        <w:rPr>
          <w:rFonts w:ascii="Tahoma" w:hAnsi="Tahoma" w:cs="Tahoma"/>
          <w:bCs/>
        </w:rPr>
        <w:t xml:space="preserve"> zen </w:t>
      </w:r>
      <w:proofErr w:type="spellStart"/>
      <w:r w:rsidRPr="00472120">
        <w:rPr>
          <w:rFonts w:ascii="Tahoma" w:hAnsi="Tahoma" w:cs="Tahoma"/>
          <w:bCs/>
        </w:rPr>
        <w:t>Artziniegan</w:t>
      </w:r>
      <w:proofErr w:type="spellEnd"/>
      <w:r w:rsidRPr="00472120">
        <w:rPr>
          <w:rFonts w:ascii="Tahoma" w:hAnsi="Tahoma" w:cs="Tahoma"/>
          <w:bCs/>
        </w:rPr>
        <w:t xml:space="preserve">, eta </w:t>
      </w:r>
      <w:proofErr w:type="spellStart"/>
      <w:r w:rsidRPr="00472120">
        <w:rPr>
          <w:rFonts w:ascii="Tahoma" w:hAnsi="Tahoma" w:cs="Tahoma"/>
          <w:bCs/>
        </w:rPr>
        <w:t>horrek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agerian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uzten</w:t>
      </w:r>
      <w:proofErr w:type="spellEnd"/>
      <w:r w:rsidRPr="00472120">
        <w:rPr>
          <w:rFonts w:ascii="Tahoma" w:hAnsi="Tahoma" w:cs="Tahoma"/>
          <w:bCs/>
        </w:rPr>
        <w:t xml:space="preserve"> du, </w:t>
      </w:r>
      <w:proofErr w:type="spellStart"/>
      <w:r w:rsidRPr="00472120">
        <w:rPr>
          <w:rFonts w:ascii="Tahoma" w:hAnsi="Tahoma" w:cs="Tahoma"/>
          <w:bCs/>
        </w:rPr>
        <w:t>beste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behin</w:t>
      </w:r>
      <w:proofErr w:type="spellEnd"/>
      <w:r w:rsidRPr="00472120">
        <w:rPr>
          <w:rFonts w:ascii="Tahoma" w:hAnsi="Tahoma" w:cs="Tahoma"/>
          <w:bCs/>
        </w:rPr>
        <w:t xml:space="preserve"> ere, </w:t>
      </w:r>
      <w:proofErr w:type="spellStart"/>
      <w:r w:rsidRPr="00472120">
        <w:rPr>
          <w:rFonts w:ascii="Tahoma" w:hAnsi="Tahoma" w:cs="Tahoma"/>
          <w:bCs/>
        </w:rPr>
        <w:t>udal-plangintzarik</w:t>
      </w:r>
      <w:proofErr w:type="spellEnd"/>
      <w:r w:rsidRPr="00472120">
        <w:rPr>
          <w:rFonts w:ascii="Tahoma" w:hAnsi="Tahoma" w:cs="Tahoma"/>
          <w:bCs/>
        </w:rPr>
        <w:t>, -</w:t>
      </w:r>
      <w:proofErr w:type="spellStart"/>
      <w:r w:rsidRPr="00472120">
        <w:rPr>
          <w:rFonts w:ascii="Tahoma" w:hAnsi="Tahoma" w:cs="Tahoma"/>
          <w:bCs/>
        </w:rPr>
        <w:t>lanik</w:t>
      </w:r>
      <w:proofErr w:type="spellEnd"/>
      <w:r w:rsidRPr="00472120">
        <w:rPr>
          <w:rFonts w:ascii="Tahoma" w:hAnsi="Tahoma" w:cs="Tahoma"/>
          <w:bCs/>
        </w:rPr>
        <w:t xml:space="preserve"> eta -</w:t>
      </w:r>
      <w:proofErr w:type="spellStart"/>
      <w:r w:rsidRPr="00472120">
        <w:rPr>
          <w:rFonts w:ascii="Tahoma" w:hAnsi="Tahoma" w:cs="Tahoma"/>
          <w:bCs/>
        </w:rPr>
        <w:t>kontrolik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eza</w:t>
      </w:r>
      <w:proofErr w:type="spellEnd"/>
      <w:r w:rsidRPr="00472120">
        <w:rPr>
          <w:rFonts w:ascii="Tahoma" w:hAnsi="Tahoma" w:cs="Tahoma"/>
          <w:bCs/>
        </w:rPr>
        <w:t xml:space="preserve">, eta, </w:t>
      </w:r>
      <w:proofErr w:type="spellStart"/>
      <w:r w:rsidRPr="00472120">
        <w:rPr>
          <w:rFonts w:ascii="Tahoma" w:hAnsi="Tahoma" w:cs="Tahoma"/>
          <w:bCs/>
        </w:rPr>
        <w:t>ondorioz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premiaz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sartu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dira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gai-zerrendan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mozio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kreditu-gaikuntza</w:t>
      </w:r>
      <w:proofErr w:type="spellEnd"/>
      <w:r w:rsidRPr="00472120">
        <w:rPr>
          <w:rFonts w:ascii="Tahoma" w:hAnsi="Tahoma" w:cs="Tahoma"/>
          <w:bCs/>
        </w:rPr>
        <w:t xml:space="preserve"> eta </w:t>
      </w:r>
      <w:proofErr w:type="spellStart"/>
      <w:r w:rsidRPr="00472120">
        <w:rPr>
          <w:rFonts w:ascii="Tahoma" w:hAnsi="Tahoma" w:cs="Tahoma"/>
          <w:bCs/>
        </w:rPr>
        <w:t>abar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gisa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onar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daitezen</w:t>
      </w:r>
      <w:proofErr w:type="spellEnd"/>
      <w:r w:rsidRPr="00472120">
        <w:rPr>
          <w:rFonts w:ascii="Tahoma" w:hAnsi="Tahoma" w:cs="Tahoma"/>
          <w:bCs/>
        </w:rPr>
        <w:t>.</w:t>
      </w:r>
    </w:p>
    <w:p w:rsidR="00472120" w:rsidRPr="00472120" w:rsidRDefault="00472120" w:rsidP="00472120">
      <w:pPr>
        <w:spacing w:line="360" w:lineRule="auto"/>
        <w:jc w:val="both"/>
        <w:rPr>
          <w:rFonts w:ascii="Tahoma" w:hAnsi="Tahoma" w:cs="Tahoma"/>
          <w:bCs/>
        </w:rPr>
      </w:pPr>
      <w:proofErr w:type="spellStart"/>
      <w:r w:rsidRPr="00472120">
        <w:rPr>
          <w:rFonts w:ascii="Tahoma" w:hAnsi="Tahoma" w:cs="Tahoma"/>
          <w:bCs/>
        </w:rPr>
        <w:t>Gobernu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taldearen</w:t>
      </w:r>
      <w:proofErr w:type="spellEnd"/>
      <w:r w:rsidRPr="00472120">
        <w:rPr>
          <w:rFonts w:ascii="Tahoma" w:hAnsi="Tahoma" w:cs="Tahoma"/>
          <w:bCs/>
        </w:rPr>
        <w:t xml:space="preserve"> desordena </w:t>
      </w:r>
      <w:proofErr w:type="spellStart"/>
      <w:r w:rsidRPr="00472120">
        <w:rPr>
          <w:rFonts w:ascii="Tahoma" w:hAnsi="Tahoma" w:cs="Tahoma"/>
          <w:bCs/>
        </w:rPr>
        <w:t>horrekin</w:t>
      </w:r>
      <w:proofErr w:type="spellEnd"/>
      <w:r w:rsidRPr="00472120">
        <w:rPr>
          <w:rFonts w:ascii="Tahoma" w:hAnsi="Tahoma" w:cs="Tahoma"/>
          <w:bCs/>
        </w:rPr>
        <w:t xml:space="preserve"> batera, </w:t>
      </w:r>
      <w:proofErr w:type="spellStart"/>
      <w:r w:rsidRPr="00472120">
        <w:rPr>
          <w:rFonts w:ascii="Tahoma" w:hAnsi="Tahoma" w:cs="Tahoma"/>
          <w:bCs/>
        </w:rPr>
        <w:t>litekeena</w:t>
      </w:r>
      <w:proofErr w:type="spellEnd"/>
      <w:r w:rsidRPr="00472120">
        <w:rPr>
          <w:rFonts w:ascii="Tahoma" w:hAnsi="Tahoma" w:cs="Tahoma"/>
          <w:bCs/>
        </w:rPr>
        <w:t xml:space="preserve"> da </w:t>
      </w:r>
      <w:proofErr w:type="spellStart"/>
      <w:r w:rsidRPr="00472120">
        <w:rPr>
          <w:rFonts w:ascii="Tahoma" w:hAnsi="Tahoma" w:cs="Tahoma"/>
          <w:bCs/>
        </w:rPr>
        <w:t>beste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ezohiko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osoko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bilkura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bat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egitea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zenbait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aste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geroago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abendu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honetan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bertan</w:t>
      </w:r>
      <w:proofErr w:type="spellEnd"/>
      <w:r w:rsidRPr="00472120">
        <w:rPr>
          <w:rFonts w:ascii="Tahoma" w:hAnsi="Tahoma" w:cs="Tahoma"/>
          <w:bCs/>
        </w:rPr>
        <w:t xml:space="preserve">, 2022ko </w:t>
      </w:r>
      <w:proofErr w:type="spellStart"/>
      <w:r w:rsidRPr="00472120">
        <w:rPr>
          <w:rFonts w:ascii="Tahoma" w:hAnsi="Tahoma" w:cs="Tahoma"/>
          <w:bCs/>
        </w:rPr>
        <w:t>Udal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Aurrekontuak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onartzeko</w:t>
      </w:r>
      <w:proofErr w:type="spellEnd"/>
      <w:r w:rsidRPr="00472120">
        <w:rPr>
          <w:rFonts w:ascii="Tahoma" w:hAnsi="Tahoma" w:cs="Tahoma"/>
          <w:bCs/>
        </w:rPr>
        <w:t xml:space="preserve">. </w:t>
      </w:r>
      <w:proofErr w:type="spellStart"/>
      <w:r w:rsidRPr="00472120">
        <w:rPr>
          <w:rFonts w:ascii="Tahoma" w:hAnsi="Tahoma" w:cs="Tahoma"/>
          <w:bCs/>
        </w:rPr>
        <w:t>Azken</w:t>
      </w:r>
      <w:proofErr w:type="spellEnd"/>
      <w:r w:rsidRPr="00472120">
        <w:rPr>
          <w:rFonts w:ascii="Tahoma" w:hAnsi="Tahoma" w:cs="Tahoma"/>
          <w:bCs/>
        </w:rPr>
        <w:t xml:space="preserve"> batean, EH-</w:t>
      </w:r>
      <w:proofErr w:type="spellStart"/>
      <w:r w:rsidRPr="00472120">
        <w:rPr>
          <w:rFonts w:ascii="Tahoma" w:hAnsi="Tahoma" w:cs="Tahoma"/>
          <w:bCs/>
        </w:rPr>
        <w:t>Bilduren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seriotasun</w:t>
      </w:r>
      <w:proofErr w:type="spellEnd"/>
      <w:r w:rsidRPr="00472120">
        <w:rPr>
          <w:rFonts w:ascii="Tahoma" w:hAnsi="Tahoma" w:cs="Tahoma"/>
          <w:bCs/>
        </w:rPr>
        <w:t xml:space="preserve"> falta eta </w:t>
      </w:r>
      <w:proofErr w:type="spellStart"/>
      <w:r w:rsidRPr="00472120">
        <w:rPr>
          <w:rFonts w:ascii="Tahoma" w:hAnsi="Tahoma" w:cs="Tahoma"/>
          <w:bCs/>
        </w:rPr>
        <w:t>udal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kudeaketarako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ezintasuna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agerian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uzten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duen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kaosa</w:t>
      </w:r>
      <w:proofErr w:type="spellEnd"/>
      <w:r w:rsidRPr="00472120">
        <w:rPr>
          <w:rFonts w:ascii="Tahoma" w:hAnsi="Tahoma" w:cs="Tahoma"/>
          <w:bCs/>
        </w:rPr>
        <w:t>.</w:t>
      </w:r>
    </w:p>
    <w:p w:rsidR="00472120" w:rsidRPr="00472120" w:rsidRDefault="00472120" w:rsidP="00472120">
      <w:pPr>
        <w:spacing w:line="360" w:lineRule="auto"/>
        <w:jc w:val="both"/>
        <w:rPr>
          <w:rFonts w:ascii="Tahoma" w:hAnsi="Tahoma" w:cs="Tahoma"/>
          <w:bCs/>
        </w:rPr>
      </w:pPr>
    </w:p>
    <w:p w:rsidR="00472120" w:rsidRPr="00472120" w:rsidRDefault="00472120" w:rsidP="00472120">
      <w:pPr>
        <w:spacing w:line="360" w:lineRule="auto"/>
        <w:jc w:val="both"/>
        <w:rPr>
          <w:rFonts w:ascii="Tahoma" w:hAnsi="Tahoma" w:cs="Tahoma"/>
          <w:b/>
          <w:bCs/>
          <w:sz w:val="24"/>
        </w:rPr>
      </w:pPr>
      <w:proofErr w:type="spellStart"/>
      <w:r w:rsidRPr="00472120">
        <w:rPr>
          <w:rFonts w:ascii="Tahoma" w:hAnsi="Tahoma" w:cs="Tahoma"/>
          <w:b/>
          <w:bCs/>
          <w:sz w:val="24"/>
        </w:rPr>
        <w:t>Ur</w:t>
      </w:r>
      <w:proofErr w:type="spellEnd"/>
      <w:r w:rsidRPr="00472120">
        <w:rPr>
          <w:rFonts w:ascii="Tahoma" w:hAnsi="Tahoma" w:cs="Tahoma"/>
          <w:b/>
          <w:bCs/>
          <w:sz w:val="24"/>
        </w:rPr>
        <w:t xml:space="preserve"> </w:t>
      </w:r>
      <w:proofErr w:type="spellStart"/>
      <w:r w:rsidRPr="00472120">
        <w:rPr>
          <w:rFonts w:ascii="Tahoma" w:hAnsi="Tahoma" w:cs="Tahoma"/>
          <w:b/>
          <w:bCs/>
          <w:sz w:val="24"/>
        </w:rPr>
        <w:t>Partzuergoa</w:t>
      </w:r>
      <w:proofErr w:type="spellEnd"/>
    </w:p>
    <w:p w:rsidR="00472120" w:rsidRPr="00472120" w:rsidRDefault="00472120" w:rsidP="00472120">
      <w:pPr>
        <w:spacing w:line="360" w:lineRule="auto"/>
        <w:jc w:val="both"/>
        <w:rPr>
          <w:rFonts w:ascii="Tahoma" w:hAnsi="Tahoma" w:cs="Tahoma"/>
          <w:bCs/>
        </w:rPr>
      </w:pPr>
      <w:proofErr w:type="spellStart"/>
      <w:r w:rsidRPr="00472120">
        <w:rPr>
          <w:rFonts w:ascii="Tahoma" w:hAnsi="Tahoma" w:cs="Tahoma"/>
          <w:bCs/>
        </w:rPr>
        <w:t>Bestalde</w:t>
      </w:r>
      <w:proofErr w:type="spellEnd"/>
      <w:r w:rsidRPr="00472120">
        <w:rPr>
          <w:rFonts w:ascii="Tahoma" w:hAnsi="Tahoma" w:cs="Tahoma"/>
          <w:bCs/>
        </w:rPr>
        <w:t xml:space="preserve">, </w:t>
      </w:r>
      <w:r w:rsidRPr="00472120">
        <w:rPr>
          <w:rFonts w:ascii="Tahoma" w:hAnsi="Tahoma" w:cs="Tahoma"/>
          <w:b/>
          <w:bCs/>
        </w:rPr>
        <w:t xml:space="preserve">Encina </w:t>
      </w:r>
      <w:proofErr w:type="spellStart"/>
      <w:r w:rsidRPr="00472120">
        <w:rPr>
          <w:rFonts w:ascii="Tahoma" w:hAnsi="Tahoma" w:cs="Tahoma"/>
          <w:b/>
          <w:bCs/>
        </w:rPr>
        <w:t>Castresana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Artziniegako</w:t>
      </w:r>
      <w:proofErr w:type="spellEnd"/>
      <w:r w:rsidRPr="00472120">
        <w:rPr>
          <w:rFonts w:ascii="Tahoma" w:hAnsi="Tahoma" w:cs="Tahoma"/>
          <w:bCs/>
        </w:rPr>
        <w:t xml:space="preserve"> EAJ-</w:t>
      </w:r>
      <w:proofErr w:type="spellStart"/>
      <w:r w:rsidRPr="00472120">
        <w:rPr>
          <w:rFonts w:ascii="Tahoma" w:hAnsi="Tahoma" w:cs="Tahoma"/>
          <w:bCs/>
        </w:rPr>
        <w:t>PNVren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bozeramaileak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topaketa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politikoan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azaldu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zuenez</w:t>
      </w:r>
      <w:proofErr w:type="spellEnd"/>
      <w:r w:rsidRPr="00472120">
        <w:rPr>
          <w:rFonts w:ascii="Tahoma" w:hAnsi="Tahoma" w:cs="Tahoma"/>
          <w:bCs/>
        </w:rPr>
        <w:t xml:space="preserve">, </w:t>
      </w:r>
      <w:r>
        <w:rPr>
          <w:rFonts w:ascii="Tahoma" w:hAnsi="Tahoma" w:cs="Tahoma"/>
          <w:bCs/>
        </w:rPr>
        <w:t>“</w:t>
      </w:r>
      <w:proofErr w:type="spellStart"/>
      <w:r w:rsidRPr="00472120">
        <w:rPr>
          <w:rFonts w:ascii="Tahoma" w:hAnsi="Tahoma" w:cs="Tahoma"/>
          <w:bCs/>
        </w:rPr>
        <w:t>Kantauriko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Urkidetza</w:t>
      </w:r>
      <w:proofErr w:type="spellEnd"/>
      <w:r w:rsidRPr="00472120">
        <w:rPr>
          <w:rFonts w:ascii="Tahoma" w:hAnsi="Tahoma" w:cs="Tahoma"/>
          <w:bCs/>
        </w:rPr>
        <w:t xml:space="preserve"> (KAKU) </w:t>
      </w:r>
      <w:proofErr w:type="spellStart"/>
      <w:r w:rsidRPr="00472120">
        <w:rPr>
          <w:rFonts w:ascii="Tahoma" w:hAnsi="Tahoma" w:cs="Tahoma"/>
          <w:bCs/>
        </w:rPr>
        <w:t>Partzuergoaren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ereduak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uraren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kudeaketan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erakunde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espezifiko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gisa</w:t>
      </w:r>
      <w:proofErr w:type="spellEnd"/>
      <w:r w:rsidRPr="00472120">
        <w:rPr>
          <w:rFonts w:ascii="Tahoma" w:hAnsi="Tahoma" w:cs="Tahoma"/>
          <w:bCs/>
        </w:rPr>
        <w:t xml:space="preserve">, oso </w:t>
      </w:r>
      <w:proofErr w:type="spellStart"/>
      <w:r w:rsidRPr="00472120">
        <w:rPr>
          <w:rFonts w:ascii="Tahoma" w:hAnsi="Tahoma" w:cs="Tahoma"/>
          <w:bCs/>
        </w:rPr>
        <w:t>ondo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funtzionatu</w:t>
      </w:r>
      <w:proofErr w:type="spellEnd"/>
      <w:r w:rsidRPr="00472120">
        <w:rPr>
          <w:rFonts w:ascii="Tahoma" w:hAnsi="Tahoma" w:cs="Tahoma"/>
          <w:bCs/>
        </w:rPr>
        <w:t xml:space="preserve"> du, eta </w:t>
      </w:r>
      <w:proofErr w:type="spellStart"/>
      <w:r w:rsidRPr="00472120">
        <w:rPr>
          <w:rFonts w:ascii="Tahoma" w:hAnsi="Tahoma" w:cs="Tahoma"/>
          <w:bCs/>
        </w:rPr>
        <w:t>barruan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zeuden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erakundeak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pozik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agertu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dira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sartu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aurretik</w:t>
      </w:r>
      <w:proofErr w:type="spellEnd"/>
      <w:r w:rsidRPr="00472120">
        <w:rPr>
          <w:rFonts w:ascii="Tahoma" w:hAnsi="Tahoma" w:cs="Tahoma"/>
          <w:bCs/>
        </w:rPr>
        <w:t xml:space="preserve"> eta </w:t>
      </w:r>
      <w:proofErr w:type="spellStart"/>
      <w:r w:rsidRPr="00472120">
        <w:rPr>
          <w:rFonts w:ascii="Tahoma" w:hAnsi="Tahoma" w:cs="Tahoma"/>
          <w:bCs/>
        </w:rPr>
        <w:t>ondoren</w:t>
      </w:r>
      <w:proofErr w:type="spellEnd"/>
      <w:r>
        <w:rPr>
          <w:rFonts w:ascii="Tahoma" w:hAnsi="Tahoma" w:cs="Tahoma"/>
          <w:bCs/>
        </w:rPr>
        <w:t>”</w:t>
      </w:r>
      <w:r w:rsidRPr="00472120">
        <w:rPr>
          <w:rFonts w:ascii="Tahoma" w:hAnsi="Tahoma" w:cs="Tahoma"/>
          <w:bCs/>
        </w:rPr>
        <w:t xml:space="preserve">. </w:t>
      </w:r>
      <w:proofErr w:type="spellStart"/>
      <w:r w:rsidRPr="00472120">
        <w:rPr>
          <w:rFonts w:ascii="Tahoma" w:hAnsi="Tahoma" w:cs="Tahoma"/>
          <w:bCs/>
        </w:rPr>
        <w:t>Gainera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Artziniegak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urteak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daramatza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Partzuergo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honetako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kide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izateko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zain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hornidura-bajako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sarearekin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baina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hasiera</w:t>
      </w:r>
      <w:proofErr w:type="spellEnd"/>
      <w:r w:rsidRPr="00472120">
        <w:rPr>
          <w:rFonts w:ascii="Tahoma" w:hAnsi="Tahoma" w:cs="Tahoma"/>
          <w:bCs/>
        </w:rPr>
        <w:t xml:space="preserve"> batean </w:t>
      </w:r>
      <w:proofErr w:type="spellStart"/>
      <w:r w:rsidRPr="00472120">
        <w:rPr>
          <w:rFonts w:ascii="Tahoma" w:hAnsi="Tahoma" w:cs="Tahoma"/>
          <w:bCs/>
        </w:rPr>
        <w:t>ez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zuen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egin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Udalean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ordezkaritza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duten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alderdi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politikoen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aritmetikaren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ondorioz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berme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errealekin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onartu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ahal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izateko</w:t>
      </w:r>
      <w:proofErr w:type="spellEnd"/>
      <w:r w:rsidRPr="00472120">
        <w:rPr>
          <w:rFonts w:ascii="Tahoma" w:hAnsi="Tahoma" w:cs="Tahoma"/>
          <w:bCs/>
        </w:rPr>
        <w:t>.</w:t>
      </w:r>
    </w:p>
    <w:p w:rsidR="00472120" w:rsidRPr="00472120" w:rsidRDefault="00472120" w:rsidP="00472120">
      <w:pPr>
        <w:spacing w:line="360" w:lineRule="auto"/>
        <w:jc w:val="both"/>
        <w:rPr>
          <w:rFonts w:ascii="Tahoma" w:hAnsi="Tahoma" w:cs="Tahoma"/>
          <w:bCs/>
        </w:rPr>
      </w:pPr>
    </w:p>
    <w:p w:rsidR="00472120" w:rsidRPr="00472120" w:rsidRDefault="00472120" w:rsidP="00472120">
      <w:pPr>
        <w:spacing w:line="360" w:lineRule="auto"/>
        <w:jc w:val="right"/>
        <w:rPr>
          <w:rFonts w:ascii="Tahoma" w:hAnsi="Tahoma" w:cs="Tahoma"/>
          <w:bCs/>
        </w:rPr>
      </w:pPr>
    </w:p>
    <w:p w:rsidR="00472120" w:rsidRPr="00472120" w:rsidRDefault="00472120" w:rsidP="00472120">
      <w:pPr>
        <w:spacing w:line="360" w:lineRule="auto"/>
        <w:jc w:val="both"/>
        <w:rPr>
          <w:rFonts w:ascii="Tahoma" w:hAnsi="Tahoma" w:cs="Tahoma"/>
          <w:bCs/>
        </w:rPr>
      </w:pPr>
    </w:p>
    <w:p w:rsidR="00472120" w:rsidRPr="00472120" w:rsidRDefault="00472120" w:rsidP="00472120">
      <w:pPr>
        <w:spacing w:line="360" w:lineRule="auto"/>
        <w:jc w:val="both"/>
        <w:rPr>
          <w:rFonts w:ascii="Tahoma" w:hAnsi="Tahoma" w:cs="Tahoma"/>
          <w:bCs/>
        </w:rPr>
      </w:pPr>
    </w:p>
    <w:p w:rsidR="00472120" w:rsidRPr="00472120" w:rsidRDefault="00472120" w:rsidP="00472120">
      <w:pPr>
        <w:spacing w:line="360" w:lineRule="auto"/>
        <w:jc w:val="both"/>
        <w:rPr>
          <w:rFonts w:ascii="Tahoma" w:hAnsi="Tahoma" w:cs="Tahoma"/>
          <w:bCs/>
        </w:rPr>
      </w:pPr>
      <w:bookmarkStart w:id="0" w:name="_GoBack"/>
      <w:bookmarkEnd w:id="0"/>
      <w:r w:rsidRPr="00472120">
        <w:rPr>
          <w:rFonts w:ascii="Tahoma" w:hAnsi="Tahoma" w:cs="Tahoma"/>
          <w:bCs/>
        </w:rPr>
        <w:t xml:space="preserve">Orain arte, </w:t>
      </w:r>
      <w:proofErr w:type="spellStart"/>
      <w:r w:rsidRPr="00472120">
        <w:rPr>
          <w:rFonts w:ascii="Tahoma" w:hAnsi="Tahoma" w:cs="Tahoma"/>
          <w:bCs/>
        </w:rPr>
        <w:t>hornidura-bajako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sarean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ez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bazegoen</w:t>
      </w:r>
      <w:proofErr w:type="spellEnd"/>
      <w:r w:rsidRPr="00472120">
        <w:rPr>
          <w:rFonts w:ascii="Tahoma" w:hAnsi="Tahoma" w:cs="Tahoma"/>
          <w:bCs/>
        </w:rPr>
        <w:t xml:space="preserve"> ere, </w:t>
      </w:r>
      <w:proofErr w:type="spellStart"/>
      <w:r w:rsidRPr="00472120">
        <w:rPr>
          <w:rFonts w:ascii="Tahoma" w:hAnsi="Tahoma" w:cs="Tahoma"/>
          <w:bCs/>
        </w:rPr>
        <w:t>KAKUtik</w:t>
      </w:r>
      <w:proofErr w:type="spellEnd"/>
      <w:r w:rsidRPr="00472120">
        <w:rPr>
          <w:rFonts w:ascii="Tahoma" w:hAnsi="Tahoma" w:cs="Tahoma"/>
          <w:bCs/>
        </w:rPr>
        <w:t xml:space="preserve"> %20ko </w:t>
      </w:r>
      <w:proofErr w:type="spellStart"/>
      <w:r w:rsidRPr="00472120">
        <w:rPr>
          <w:rFonts w:ascii="Tahoma" w:hAnsi="Tahoma" w:cs="Tahoma"/>
          <w:bCs/>
        </w:rPr>
        <w:t>zerbitzua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jasotzen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zuen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kontzeptu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horrengatik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gutxi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gorabehera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baina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ez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zuen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horregatik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ordaintzen</w:t>
      </w:r>
      <w:proofErr w:type="spellEnd"/>
      <w:r w:rsidRPr="00472120">
        <w:rPr>
          <w:rFonts w:ascii="Tahoma" w:hAnsi="Tahoma" w:cs="Tahoma"/>
          <w:bCs/>
        </w:rPr>
        <w:t xml:space="preserve">. Hala ere, </w:t>
      </w:r>
      <w:proofErr w:type="spellStart"/>
      <w:r w:rsidRPr="00472120">
        <w:rPr>
          <w:rFonts w:ascii="Tahoma" w:hAnsi="Tahoma" w:cs="Tahoma"/>
          <w:bCs/>
        </w:rPr>
        <w:t>saneamenduaren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etorrerarekin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kostu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handiagoa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aurkezten</w:t>
      </w:r>
      <w:proofErr w:type="spellEnd"/>
      <w:r w:rsidRPr="00472120">
        <w:rPr>
          <w:rFonts w:ascii="Tahoma" w:hAnsi="Tahoma" w:cs="Tahoma"/>
          <w:bCs/>
        </w:rPr>
        <w:t xml:space="preserve"> da, </w:t>
      </w:r>
      <w:proofErr w:type="spellStart"/>
      <w:r w:rsidRPr="00472120">
        <w:rPr>
          <w:rFonts w:ascii="Tahoma" w:hAnsi="Tahoma" w:cs="Tahoma"/>
          <w:bCs/>
        </w:rPr>
        <w:t>Europako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esparru-zuzentarau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batek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kostua</w:t>
      </w:r>
      <w:proofErr w:type="spellEnd"/>
      <w:r w:rsidRPr="00472120">
        <w:rPr>
          <w:rFonts w:ascii="Tahoma" w:hAnsi="Tahoma" w:cs="Tahoma"/>
          <w:bCs/>
        </w:rPr>
        <w:t xml:space="preserve"> tarifan </w:t>
      </w:r>
      <w:proofErr w:type="spellStart"/>
      <w:r w:rsidRPr="00472120">
        <w:rPr>
          <w:rFonts w:ascii="Tahoma" w:hAnsi="Tahoma" w:cs="Tahoma"/>
          <w:bCs/>
        </w:rPr>
        <w:t>jasanaraztera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behartzen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baitu</w:t>
      </w:r>
      <w:proofErr w:type="spellEnd"/>
      <w:r w:rsidRPr="00472120">
        <w:rPr>
          <w:rFonts w:ascii="Tahoma" w:hAnsi="Tahoma" w:cs="Tahoma"/>
          <w:bCs/>
        </w:rPr>
        <w:t>.</w:t>
      </w:r>
    </w:p>
    <w:p w:rsidR="00472120" w:rsidRPr="00472120" w:rsidRDefault="00472120" w:rsidP="00472120">
      <w:pPr>
        <w:spacing w:line="360" w:lineRule="auto"/>
        <w:jc w:val="both"/>
        <w:rPr>
          <w:rFonts w:ascii="Tahoma" w:hAnsi="Tahoma" w:cs="Tahoma"/>
          <w:bCs/>
        </w:rPr>
      </w:pPr>
      <w:proofErr w:type="spellStart"/>
      <w:r w:rsidRPr="00472120">
        <w:rPr>
          <w:rFonts w:ascii="Tahoma" w:hAnsi="Tahoma" w:cs="Tahoma"/>
          <w:bCs/>
        </w:rPr>
        <w:t>Castresanak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azpimarratu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zuenez</w:t>
      </w:r>
      <w:proofErr w:type="spellEnd"/>
      <w:r w:rsidRPr="00472120">
        <w:rPr>
          <w:rFonts w:ascii="Tahoma" w:hAnsi="Tahoma" w:cs="Tahoma"/>
          <w:bCs/>
        </w:rPr>
        <w:t xml:space="preserve">, </w:t>
      </w:r>
      <w:r>
        <w:rPr>
          <w:rFonts w:ascii="Tahoma" w:hAnsi="Tahoma" w:cs="Tahoma"/>
          <w:bCs/>
        </w:rPr>
        <w:t>“</w:t>
      </w:r>
      <w:proofErr w:type="spellStart"/>
      <w:r w:rsidRPr="00472120">
        <w:rPr>
          <w:rFonts w:ascii="Tahoma" w:hAnsi="Tahoma" w:cs="Tahoma"/>
          <w:bCs/>
        </w:rPr>
        <w:t>eskualdeko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biztanleria-masarekin</w:t>
      </w:r>
      <w:proofErr w:type="spellEnd"/>
      <w:r w:rsidRPr="00472120">
        <w:rPr>
          <w:rFonts w:ascii="Tahoma" w:hAnsi="Tahoma" w:cs="Tahoma"/>
          <w:bCs/>
        </w:rPr>
        <w:t xml:space="preserve"> tasa </w:t>
      </w:r>
      <w:proofErr w:type="spellStart"/>
      <w:r w:rsidRPr="00472120">
        <w:rPr>
          <w:rFonts w:ascii="Tahoma" w:hAnsi="Tahoma" w:cs="Tahoma"/>
          <w:bCs/>
        </w:rPr>
        <w:t>hori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biderkatu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ahal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izango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litzateke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kudeaketari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aurre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egin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ahal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izateko</w:t>
      </w:r>
      <w:proofErr w:type="spellEnd"/>
      <w:r w:rsidRPr="00472120">
        <w:rPr>
          <w:rFonts w:ascii="Tahoma" w:hAnsi="Tahoma" w:cs="Tahoma"/>
          <w:bCs/>
        </w:rPr>
        <w:t>, eta EAJ-</w:t>
      </w:r>
      <w:proofErr w:type="spellStart"/>
      <w:r w:rsidRPr="00472120">
        <w:rPr>
          <w:rFonts w:ascii="Tahoma" w:hAnsi="Tahoma" w:cs="Tahoma"/>
          <w:bCs/>
        </w:rPr>
        <w:t>PNVrentzat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benetan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kezkatzen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gaituena</w:t>
      </w:r>
      <w:proofErr w:type="spellEnd"/>
      <w:r w:rsidRPr="00472120">
        <w:rPr>
          <w:rFonts w:ascii="Tahoma" w:hAnsi="Tahoma" w:cs="Tahoma"/>
          <w:bCs/>
        </w:rPr>
        <w:t xml:space="preserve"> da </w:t>
      </w:r>
      <w:proofErr w:type="spellStart"/>
      <w:r w:rsidRPr="00472120">
        <w:rPr>
          <w:rFonts w:ascii="Tahoma" w:hAnsi="Tahoma" w:cs="Tahoma"/>
          <w:bCs/>
        </w:rPr>
        <w:t>herritarrek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ez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dutela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bere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gain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hartu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behar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eremu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txikiagoan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azpiegitura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berriak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iristeak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ekarriko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duen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kostua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baizik</w:t>
      </w:r>
      <w:proofErr w:type="spellEnd"/>
      <w:r w:rsidRPr="00472120">
        <w:rPr>
          <w:rFonts w:ascii="Tahoma" w:hAnsi="Tahoma" w:cs="Tahoma"/>
          <w:bCs/>
        </w:rPr>
        <w:t xml:space="preserve"> eta </w:t>
      </w:r>
      <w:proofErr w:type="spellStart"/>
      <w:r w:rsidRPr="00472120">
        <w:rPr>
          <w:rFonts w:ascii="Tahoma" w:hAnsi="Tahoma" w:cs="Tahoma"/>
          <w:bCs/>
        </w:rPr>
        <w:t>modu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globalagoan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entitate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handiagoko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partzuergo</w:t>
      </w:r>
      <w:proofErr w:type="spellEnd"/>
      <w:r w:rsidRPr="00472120">
        <w:rPr>
          <w:rFonts w:ascii="Tahoma" w:hAnsi="Tahoma" w:cs="Tahoma"/>
          <w:bCs/>
        </w:rPr>
        <w:t xml:space="preserve"> baten </w:t>
      </w:r>
      <w:proofErr w:type="spellStart"/>
      <w:r w:rsidRPr="00472120">
        <w:rPr>
          <w:rFonts w:ascii="Tahoma" w:hAnsi="Tahoma" w:cs="Tahoma"/>
          <w:bCs/>
        </w:rPr>
        <w:t>bidez</w:t>
      </w:r>
      <w:proofErr w:type="spellEnd"/>
      <w:r>
        <w:rPr>
          <w:rFonts w:ascii="Tahoma" w:hAnsi="Tahoma" w:cs="Tahoma"/>
          <w:bCs/>
        </w:rPr>
        <w:t>”</w:t>
      </w:r>
      <w:r w:rsidRPr="00472120">
        <w:rPr>
          <w:rFonts w:ascii="Tahoma" w:hAnsi="Tahoma" w:cs="Tahoma"/>
          <w:bCs/>
        </w:rPr>
        <w:t>.</w:t>
      </w:r>
    </w:p>
    <w:p w:rsidR="00472120" w:rsidRPr="00472120" w:rsidRDefault="00472120" w:rsidP="00472120">
      <w:pPr>
        <w:spacing w:line="360" w:lineRule="auto"/>
        <w:jc w:val="both"/>
        <w:rPr>
          <w:rFonts w:ascii="Tahoma" w:hAnsi="Tahoma" w:cs="Tahoma"/>
          <w:bCs/>
        </w:rPr>
      </w:pPr>
      <w:proofErr w:type="spellStart"/>
      <w:r w:rsidRPr="00472120">
        <w:rPr>
          <w:rFonts w:ascii="Tahoma" w:hAnsi="Tahoma" w:cs="Tahoma"/>
          <w:bCs/>
        </w:rPr>
        <w:t>Askotan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udal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talde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jeltzaleak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agerian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utzi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ditu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urte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osoan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osoko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bilkuraren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ondoren</w:t>
      </w:r>
      <w:proofErr w:type="spellEnd"/>
      <w:r w:rsidRPr="00472120">
        <w:rPr>
          <w:rFonts w:ascii="Tahoma" w:hAnsi="Tahoma" w:cs="Tahoma"/>
          <w:bCs/>
        </w:rPr>
        <w:t xml:space="preserve"> Joseba Vivanco </w:t>
      </w:r>
      <w:proofErr w:type="spellStart"/>
      <w:r w:rsidRPr="00472120">
        <w:rPr>
          <w:rFonts w:ascii="Tahoma" w:hAnsi="Tahoma" w:cs="Tahoma"/>
          <w:bCs/>
        </w:rPr>
        <w:t>alkatearen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gobernu-taldeak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erakutsi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dituen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etengabeko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inkongruentziak</w:t>
      </w:r>
      <w:proofErr w:type="spellEnd"/>
      <w:r w:rsidRPr="00472120">
        <w:rPr>
          <w:rFonts w:ascii="Tahoma" w:hAnsi="Tahoma" w:cs="Tahoma"/>
          <w:bCs/>
        </w:rPr>
        <w:t xml:space="preserve">; izan ere, </w:t>
      </w:r>
      <w:proofErr w:type="spellStart"/>
      <w:r w:rsidRPr="00472120">
        <w:rPr>
          <w:rFonts w:ascii="Tahoma" w:hAnsi="Tahoma" w:cs="Tahoma"/>
          <w:bCs/>
        </w:rPr>
        <w:t>asmo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argi</w:t>
      </w:r>
      <w:proofErr w:type="spellEnd"/>
      <w:r w:rsidRPr="00472120">
        <w:rPr>
          <w:rFonts w:ascii="Tahoma" w:hAnsi="Tahoma" w:cs="Tahoma"/>
          <w:bCs/>
        </w:rPr>
        <w:t xml:space="preserve"> eta </w:t>
      </w:r>
      <w:proofErr w:type="spellStart"/>
      <w:r w:rsidRPr="00472120">
        <w:rPr>
          <w:rFonts w:ascii="Tahoma" w:hAnsi="Tahoma" w:cs="Tahoma"/>
          <w:bCs/>
        </w:rPr>
        <w:t>arduragabea</w:t>
      </w:r>
      <w:proofErr w:type="spellEnd"/>
      <w:r w:rsidRPr="00472120">
        <w:rPr>
          <w:rFonts w:ascii="Tahoma" w:hAnsi="Tahoma" w:cs="Tahoma"/>
          <w:bCs/>
        </w:rPr>
        <w:t xml:space="preserve"> izan du, eta </w:t>
      </w:r>
      <w:proofErr w:type="spellStart"/>
      <w:r w:rsidRPr="00472120">
        <w:rPr>
          <w:rFonts w:ascii="Tahoma" w:hAnsi="Tahoma" w:cs="Tahoma"/>
          <w:bCs/>
        </w:rPr>
        <w:t>beti</w:t>
      </w:r>
      <w:proofErr w:type="spellEnd"/>
      <w:r w:rsidRPr="00472120">
        <w:rPr>
          <w:rFonts w:ascii="Tahoma" w:hAnsi="Tahoma" w:cs="Tahoma"/>
          <w:bCs/>
        </w:rPr>
        <w:t xml:space="preserve"> izan du </w:t>
      </w:r>
      <w:proofErr w:type="spellStart"/>
      <w:r w:rsidRPr="00472120">
        <w:rPr>
          <w:rFonts w:ascii="Tahoma" w:hAnsi="Tahoma" w:cs="Tahoma"/>
          <w:bCs/>
        </w:rPr>
        <w:t>helburu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prozesu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hori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geldiaraztea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inolako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alternatibarik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proposatu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gabe</w:t>
      </w:r>
      <w:proofErr w:type="spellEnd"/>
      <w:r w:rsidRPr="00472120">
        <w:rPr>
          <w:rFonts w:ascii="Tahoma" w:hAnsi="Tahoma" w:cs="Tahoma"/>
          <w:bCs/>
        </w:rPr>
        <w:t>.</w:t>
      </w:r>
    </w:p>
    <w:p w:rsidR="00472120" w:rsidRPr="00472120" w:rsidRDefault="00472120" w:rsidP="00472120">
      <w:p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“</w:t>
      </w:r>
      <w:proofErr w:type="spellStart"/>
      <w:r w:rsidRPr="00472120">
        <w:rPr>
          <w:rFonts w:ascii="Tahoma" w:hAnsi="Tahoma" w:cs="Tahoma"/>
          <w:bCs/>
        </w:rPr>
        <w:t>Egia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esan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ez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zegoen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hilabete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batzuetako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luzapenik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eskatu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beharrik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hausnartzeko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edo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gobernu-talde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honen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ohiko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estiloa</w:t>
      </w:r>
      <w:proofErr w:type="spellEnd"/>
      <w:r w:rsidRPr="00472120">
        <w:rPr>
          <w:rFonts w:ascii="Tahoma" w:hAnsi="Tahoma" w:cs="Tahoma"/>
          <w:bCs/>
        </w:rPr>
        <w:t xml:space="preserve"> den </w:t>
      </w:r>
      <w:proofErr w:type="spellStart"/>
      <w:r w:rsidRPr="00472120">
        <w:rPr>
          <w:rFonts w:ascii="Tahoma" w:hAnsi="Tahoma" w:cs="Tahoma"/>
          <w:bCs/>
        </w:rPr>
        <w:t>bezala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beste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erakunde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edo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ordezkari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politiko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batzuek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haren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alde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erabakiak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hartu</w:t>
      </w:r>
      <w:proofErr w:type="spellEnd"/>
      <w:r w:rsidRPr="00472120">
        <w:rPr>
          <w:rFonts w:ascii="Tahoma" w:hAnsi="Tahoma" w:cs="Tahoma"/>
          <w:bCs/>
        </w:rPr>
        <w:t xml:space="preserve"> arte </w:t>
      </w:r>
      <w:proofErr w:type="spellStart"/>
      <w:r w:rsidRPr="00472120">
        <w:rPr>
          <w:rFonts w:ascii="Tahoma" w:hAnsi="Tahoma" w:cs="Tahoma"/>
          <w:bCs/>
        </w:rPr>
        <w:t>itxaroteko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inolako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erantzukizunik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hartu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behar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ez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izateko</w:t>
      </w:r>
      <w:proofErr w:type="spellEnd"/>
      <w:r>
        <w:rPr>
          <w:rFonts w:ascii="Tahoma" w:hAnsi="Tahoma" w:cs="Tahoma"/>
          <w:bCs/>
        </w:rPr>
        <w:t>”</w:t>
      </w:r>
      <w:r w:rsidRPr="00472120">
        <w:rPr>
          <w:rFonts w:ascii="Tahoma" w:hAnsi="Tahoma" w:cs="Tahoma"/>
          <w:bCs/>
        </w:rPr>
        <w:t xml:space="preserve">. </w:t>
      </w:r>
      <w:proofErr w:type="spellStart"/>
      <w:r w:rsidRPr="00472120">
        <w:rPr>
          <w:rFonts w:ascii="Tahoma" w:hAnsi="Tahoma" w:cs="Tahoma"/>
          <w:bCs/>
        </w:rPr>
        <w:t>Bozeramaile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jeltzaleak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deitoratu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zuenez</w:t>
      </w:r>
      <w:proofErr w:type="spellEnd"/>
      <w:r w:rsidRPr="00472120">
        <w:rPr>
          <w:rFonts w:ascii="Tahoma" w:hAnsi="Tahoma" w:cs="Tahoma"/>
          <w:bCs/>
        </w:rPr>
        <w:t xml:space="preserve">, </w:t>
      </w:r>
      <w:r>
        <w:rPr>
          <w:rFonts w:ascii="Tahoma" w:hAnsi="Tahoma" w:cs="Tahoma"/>
          <w:bCs/>
        </w:rPr>
        <w:t>“</w:t>
      </w:r>
      <w:proofErr w:type="spellStart"/>
      <w:r w:rsidRPr="00472120">
        <w:rPr>
          <w:rFonts w:ascii="Tahoma" w:hAnsi="Tahoma" w:cs="Tahoma"/>
          <w:bCs/>
        </w:rPr>
        <w:t>ezin</w:t>
      </w:r>
      <w:proofErr w:type="spellEnd"/>
      <w:r w:rsidRPr="00472120">
        <w:rPr>
          <w:rFonts w:ascii="Tahoma" w:hAnsi="Tahoma" w:cs="Tahoma"/>
          <w:bCs/>
        </w:rPr>
        <w:t xml:space="preserve"> zen </w:t>
      </w:r>
      <w:proofErr w:type="spellStart"/>
      <w:r w:rsidRPr="00472120">
        <w:rPr>
          <w:rFonts w:ascii="Tahoma" w:hAnsi="Tahoma" w:cs="Tahoma"/>
          <w:bCs/>
        </w:rPr>
        <w:t>bide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hori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bakarrik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egin</w:t>
      </w:r>
      <w:proofErr w:type="spellEnd"/>
      <w:r w:rsidRPr="00472120">
        <w:rPr>
          <w:rFonts w:ascii="Tahoma" w:hAnsi="Tahoma" w:cs="Tahoma"/>
          <w:bCs/>
        </w:rPr>
        <w:t xml:space="preserve">, eta Vivanco </w:t>
      </w:r>
      <w:proofErr w:type="spellStart"/>
      <w:r w:rsidRPr="00472120">
        <w:rPr>
          <w:rFonts w:ascii="Tahoma" w:hAnsi="Tahoma" w:cs="Tahoma"/>
          <w:bCs/>
        </w:rPr>
        <w:t>alkateak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bazekien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bere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talde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osoak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bazekiela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erabaki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bat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hartzeko</w:t>
      </w:r>
      <w:proofErr w:type="spellEnd"/>
      <w:r w:rsidRPr="00472120">
        <w:rPr>
          <w:rFonts w:ascii="Tahoma" w:hAnsi="Tahoma" w:cs="Tahoma"/>
          <w:bCs/>
        </w:rPr>
        <w:t xml:space="preserve"> eta, </w:t>
      </w:r>
      <w:proofErr w:type="spellStart"/>
      <w:r w:rsidRPr="00472120">
        <w:rPr>
          <w:rFonts w:ascii="Tahoma" w:hAnsi="Tahoma" w:cs="Tahoma"/>
          <w:bCs/>
        </w:rPr>
        <w:t>azken</w:t>
      </w:r>
      <w:proofErr w:type="spellEnd"/>
      <w:r w:rsidRPr="00472120">
        <w:rPr>
          <w:rFonts w:ascii="Tahoma" w:hAnsi="Tahoma" w:cs="Tahoma"/>
          <w:bCs/>
        </w:rPr>
        <w:t xml:space="preserve"> batean, </w:t>
      </w:r>
      <w:proofErr w:type="spellStart"/>
      <w:r w:rsidRPr="00472120">
        <w:rPr>
          <w:rFonts w:ascii="Tahoma" w:hAnsi="Tahoma" w:cs="Tahoma"/>
          <w:bCs/>
        </w:rPr>
        <w:t>jarduteko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betebehar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erremediogabea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zegoela</w:t>
      </w:r>
      <w:proofErr w:type="spellEnd"/>
      <w:r>
        <w:rPr>
          <w:rFonts w:ascii="Tahoma" w:hAnsi="Tahoma" w:cs="Tahoma"/>
          <w:bCs/>
        </w:rPr>
        <w:t>”</w:t>
      </w:r>
      <w:r w:rsidRPr="00472120">
        <w:rPr>
          <w:rFonts w:ascii="Tahoma" w:hAnsi="Tahoma" w:cs="Tahoma"/>
          <w:bCs/>
        </w:rPr>
        <w:t>.</w:t>
      </w:r>
    </w:p>
    <w:p w:rsidR="00BC440E" w:rsidRDefault="00472120" w:rsidP="00472120">
      <w:pPr>
        <w:spacing w:line="360" w:lineRule="auto"/>
        <w:jc w:val="both"/>
      </w:pPr>
      <w:proofErr w:type="spellStart"/>
      <w:r w:rsidRPr="00472120">
        <w:rPr>
          <w:rFonts w:ascii="Tahoma" w:hAnsi="Tahoma" w:cs="Tahoma"/>
          <w:bCs/>
        </w:rPr>
        <w:t>Horregatik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guztiagatik</w:t>
      </w:r>
      <w:proofErr w:type="spellEnd"/>
      <w:r w:rsidRPr="00472120">
        <w:rPr>
          <w:rFonts w:ascii="Tahoma" w:hAnsi="Tahoma" w:cs="Tahoma"/>
          <w:bCs/>
        </w:rPr>
        <w:t xml:space="preserve">, </w:t>
      </w:r>
      <w:r>
        <w:rPr>
          <w:rFonts w:ascii="Tahoma" w:hAnsi="Tahoma" w:cs="Tahoma"/>
          <w:bCs/>
        </w:rPr>
        <w:t>“</w:t>
      </w:r>
      <w:r w:rsidRPr="00472120">
        <w:rPr>
          <w:rFonts w:ascii="Tahoma" w:hAnsi="Tahoma" w:cs="Tahoma"/>
          <w:bCs/>
        </w:rPr>
        <w:t xml:space="preserve">EAJ-PNV </w:t>
      </w:r>
      <w:proofErr w:type="spellStart"/>
      <w:r w:rsidRPr="00472120">
        <w:rPr>
          <w:rFonts w:ascii="Tahoma" w:hAnsi="Tahoma" w:cs="Tahoma"/>
          <w:bCs/>
        </w:rPr>
        <w:t>Artziniegak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udalerria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Ur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Partzuergo</w:t>
      </w:r>
      <w:proofErr w:type="spellEnd"/>
      <w:r w:rsidRPr="00472120">
        <w:rPr>
          <w:rFonts w:ascii="Tahoma" w:hAnsi="Tahoma" w:cs="Tahoma"/>
          <w:bCs/>
        </w:rPr>
        <w:t xml:space="preserve"> batean </w:t>
      </w:r>
      <w:proofErr w:type="spellStart"/>
      <w:r w:rsidRPr="00472120">
        <w:rPr>
          <w:rFonts w:ascii="Tahoma" w:hAnsi="Tahoma" w:cs="Tahoma"/>
          <w:bCs/>
        </w:rPr>
        <w:t>sartzearen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alde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egin</w:t>
      </w:r>
      <w:proofErr w:type="spellEnd"/>
      <w:r w:rsidRPr="00472120">
        <w:rPr>
          <w:rFonts w:ascii="Tahoma" w:hAnsi="Tahoma" w:cs="Tahoma"/>
          <w:bCs/>
        </w:rPr>
        <w:t xml:space="preserve"> du, </w:t>
      </w:r>
      <w:proofErr w:type="spellStart"/>
      <w:r w:rsidRPr="00472120">
        <w:rPr>
          <w:rFonts w:ascii="Tahoma" w:hAnsi="Tahoma" w:cs="Tahoma"/>
          <w:bCs/>
        </w:rPr>
        <w:t>hain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zerbitzu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garrantzitsua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epe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ertain</w:t>
      </w:r>
      <w:proofErr w:type="spellEnd"/>
      <w:r w:rsidRPr="00472120">
        <w:rPr>
          <w:rFonts w:ascii="Tahoma" w:hAnsi="Tahoma" w:cs="Tahoma"/>
          <w:bCs/>
        </w:rPr>
        <w:t xml:space="preserve"> eta </w:t>
      </w:r>
      <w:proofErr w:type="spellStart"/>
      <w:r w:rsidRPr="00472120">
        <w:rPr>
          <w:rFonts w:ascii="Tahoma" w:hAnsi="Tahoma" w:cs="Tahoma"/>
          <w:bCs/>
        </w:rPr>
        <w:t>luzera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ahalik</w:t>
      </w:r>
      <w:proofErr w:type="spellEnd"/>
      <w:r w:rsidRPr="00472120">
        <w:rPr>
          <w:rFonts w:ascii="Tahoma" w:hAnsi="Tahoma" w:cs="Tahoma"/>
          <w:bCs/>
        </w:rPr>
        <w:t xml:space="preserve"> eta </w:t>
      </w:r>
      <w:proofErr w:type="spellStart"/>
      <w:r w:rsidRPr="00472120">
        <w:rPr>
          <w:rFonts w:ascii="Tahoma" w:hAnsi="Tahoma" w:cs="Tahoma"/>
          <w:bCs/>
        </w:rPr>
        <w:t>kalitaterik</w:t>
      </w:r>
      <w:proofErr w:type="spellEnd"/>
      <w:r w:rsidRPr="00472120">
        <w:rPr>
          <w:rFonts w:ascii="Tahoma" w:hAnsi="Tahoma" w:cs="Tahoma"/>
          <w:bCs/>
        </w:rPr>
        <w:t xml:space="preserve"> eta </w:t>
      </w:r>
      <w:proofErr w:type="spellStart"/>
      <w:r w:rsidRPr="00472120">
        <w:rPr>
          <w:rFonts w:ascii="Tahoma" w:hAnsi="Tahoma" w:cs="Tahoma"/>
          <w:bCs/>
        </w:rPr>
        <w:t>eraginkortasunik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onenarekin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eskainiko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duena</w:t>
      </w:r>
      <w:proofErr w:type="spellEnd"/>
      <w:r w:rsidRPr="00472120">
        <w:rPr>
          <w:rFonts w:ascii="Tahoma" w:hAnsi="Tahoma" w:cs="Tahoma"/>
          <w:bCs/>
        </w:rPr>
        <w:t xml:space="preserve">, eta, </w:t>
      </w:r>
      <w:proofErr w:type="spellStart"/>
      <w:r w:rsidRPr="00472120">
        <w:rPr>
          <w:rFonts w:ascii="Tahoma" w:hAnsi="Tahoma" w:cs="Tahoma"/>
          <w:bCs/>
        </w:rPr>
        <w:t>aldi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berean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gutxien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kontsumitzen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duten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bizilagunei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mesede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egingo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diena</w:t>
      </w:r>
      <w:proofErr w:type="spellEnd"/>
      <w:r w:rsidRPr="00472120">
        <w:rPr>
          <w:rFonts w:ascii="Tahoma" w:hAnsi="Tahoma" w:cs="Tahoma"/>
          <w:bCs/>
        </w:rPr>
        <w:t xml:space="preserve">, </w:t>
      </w:r>
      <w:proofErr w:type="spellStart"/>
      <w:r w:rsidRPr="00472120">
        <w:rPr>
          <w:rFonts w:ascii="Tahoma" w:hAnsi="Tahoma" w:cs="Tahoma"/>
          <w:bCs/>
        </w:rPr>
        <w:t>ordainagiriak</w:t>
      </w:r>
      <w:proofErr w:type="spellEnd"/>
      <w:r w:rsidRPr="00472120">
        <w:rPr>
          <w:rFonts w:ascii="Tahoma" w:hAnsi="Tahoma" w:cs="Tahoma"/>
          <w:bCs/>
        </w:rPr>
        <w:t xml:space="preserve"> </w:t>
      </w:r>
      <w:proofErr w:type="spellStart"/>
      <w:r w:rsidRPr="00472120">
        <w:rPr>
          <w:rFonts w:ascii="Tahoma" w:hAnsi="Tahoma" w:cs="Tahoma"/>
          <w:bCs/>
        </w:rPr>
        <w:t>hiru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hilean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behin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kobratuko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baitira</w:t>
      </w:r>
      <w:proofErr w:type="spellEnd"/>
      <w:r>
        <w:rPr>
          <w:rFonts w:ascii="Tahoma" w:hAnsi="Tahoma" w:cs="Tahoma"/>
          <w:bCs/>
        </w:rPr>
        <w:t xml:space="preserve">”, </w:t>
      </w:r>
      <w:proofErr w:type="spellStart"/>
      <w:r>
        <w:rPr>
          <w:rFonts w:ascii="Tahoma" w:eastAsia="Times New Roman" w:hAnsi="Tahoma" w:cs="Tahoma"/>
          <w:lang w:eastAsia="es-ES"/>
        </w:rPr>
        <w:t>bukatu</w:t>
      </w:r>
      <w:proofErr w:type="spellEnd"/>
      <w:r>
        <w:rPr>
          <w:rFonts w:ascii="Tahoma" w:eastAsia="Times New Roman" w:hAnsi="Tahoma" w:cs="Tahoma"/>
          <w:lang w:eastAsia="es-ES"/>
        </w:rPr>
        <w:t xml:space="preserve"> </w:t>
      </w:r>
      <w:proofErr w:type="spellStart"/>
      <w:r>
        <w:rPr>
          <w:rFonts w:ascii="Tahoma" w:eastAsia="Times New Roman" w:hAnsi="Tahoma" w:cs="Tahoma"/>
          <w:lang w:eastAsia="es-ES"/>
        </w:rPr>
        <w:t>zuen</w:t>
      </w:r>
      <w:proofErr w:type="spellEnd"/>
      <w:r>
        <w:rPr>
          <w:rFonts w:ascii="Tahoma" w:eastAsia="Times New Roman" w:hAnsi="Tahoma" w:cs="Tahoma"/>
          <w:lang w:eastAsia="es-ES"/>
        </w:rPr>
        <w:t xml:space="preserve"> </w:t>
      </w:r>
      <w:r w:rsidRPr="00DF3060">
        <w:rPr>
          <w:rFonts w:ascii="Tahoma" w:eastAsia="Times New Roman" w:hAnsi="Tahoma" w:cs="Tahoma"/>
          <w:lang w:eastAsia="es-ES"/>
        </w:rPr>
        <w:t xml:space="preserve">Encina </w:t>
      </w:r>
      <w:proofErr w:type="spellStart"/>
      <w:r w:rsidRPr="00DF3060">
        <w:rPr>
          <w:rFonts w:ascii="Tahoma" w:eastAsia="Times New Roman" w:hAnsi="Tahoma" w:cs="Tahoma"/>
          <w:lang w:eastAsia="es-ES"/>
        </w:rPr>
        <w:t>Castresanak</w:t>
      </w:r>
      <w:proofErr w:type="spellEnd"/>
      <w:r w:rsidRPr="00DF3060">
        <w:rPr>
          <w:rFonts w:ascii="Tahoma" w:eastAsia="Times New Roman" w:hAnsi="Tahoma" w:cs="Tahoma"/>
          <w:lang w:eastAsia="es-ES"/>
        </w:rPr>
        <w:t>.</w:t>
      </w:r>
    </w:p>
    <w:sectPr w:rsidR="00BC440E" w:rsidSect="00236604">
      <w:headerReference w:type="default" r:id="rId7"/>
      <w:footerReference w:type="default" r:id="rId8"/>
      <w:pgSz w:w="11906" w:h="16838"/>
      <w:pgMar w:top="1135" w:right="1133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03" w:rsidRDefault="00184603" w:rsidP="00472120">
      <w:pPr>
        <w:spacing w:after="0" w:line="240" w:lineRule="auto"/>
      </w:pPr>
      <w:r>
        <w:separator/>
      </w:r>
    </w:p>
  </w:endnote>
  <w:endnote w:type="continuationSeparator" w:id="0">
    <w:p w:rsidR="00184603" w:rsidRDefault="00184603" w:rsidP="0047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547762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636493281"/>
          <w:docPartObj>
            <w:docPartGallery w:val="Page Numbers (Top of Page)"/>
            <w:docPartUnique/>
          </w:docPartObj>
        </w:sdtPr>
        <w:sdtEndPr/>
        <w:sdtContent>
          <w:p w:rsidR="0098693C" w:rsidRPr="0060243E" w:rsidRDefault="00184603">
            <w:pPr>
              <w:pStyle w:val="Piedepgina"/>
              <w:jc w:val="right"/>
              <w:rPr>
                <w:sz w:val="20"/>
              </w:rPr>
            </w:pPr>
            <w:r w:rsidRPr="0060243E">
              <w:rPr>
                <w:bCs/>
                <w:szCs w:val="24"/>
              </w:rPr>
              <w:fldChar w:fldCharType="begin"/>
            </w:r>
            <w:r w:rsidRPr="0060243E">
              <w:rPr>
                <w:bCs/>
                <w:sz w:val="20"/>
              </w:rPr>
              <w:instrText>PAGE</w:instrText>
            </w:r>
            <w:r w:rsidRPr="0060243E">
              <w:rPr>
                <w:bCs/>
                <w:szCs w:val="24"/>
              </w:rPr>
              <w:fldChar w:fldCharType="separate"/>
            </w:r>
            <w:r w:rsidR="00A633E0">
              <w:rPr>
                <w:bCs/>
                <w:noProof/>
                <w:sz w:val="20"/>
              </w:rPr>
              <w:t>2</w:t>
            </w:r>
            <w:r w:rsidRPr="0060243E">
              <w:rPr>
                <w:bCs/>
                <w:szCs w:val="24"/>
              </w:rPr>
              <w:fldChar w:fldCharType="end"/>
            </w:r>
            <w:r w:rsidRPr="0060243E">
              <w:rPr>
                <w:sz w:val="20"/>
              </w:rPr>
              <w:t xml:space="preserve"> </w:t>
            </w:r>
            <w:r w:rsidR="00472120">
              <w:rPr>
                <w:sz w:val="20"/>
              </w:rPr>
              <w:t>/</w:t>
            </w:r>
            <w:r w:rsidRPr="0060243E">
              <w:rPr>
                <w:sz w:val="20"/>
              </w:rPr>
              <w:t xml:space="preserve"> </w:t>
            </w:r>
            <w:r w:rsidRPr="0060243E">
              <w:rPr>
                <w:bCs/>
                <w:szCs w:val="24"/>
              </w:rPr>
              <w:fldChar w:fldCharType="begin"/>
            </w:r>
            <w:r w:rsidRPr="0060243E">
              <w:rPr>
                <w:bCs/>
                <w:sz w:val="20"/>
              </w:rPr>
              <w:instrText>NUMPAGES</w:instrText>
            </w:r>
            <w:r w:rsidRPr="0060243E">
              <w:rPr>
                <w:bCs/>
                <w:szCs w:val="24"/>
              </w:rPr>
              <w:fldChar w:fldCharType="separate"/>
            </w:r>
            <w:r w:rsidR="00A633E0">
              <w:rPr>
                <w:bCs/>
                <w:noProof/>
                <w:sz w:val="20"/>
              </w:rPr>
              <w:t>2</w:t>
            </w:r>
            <w:r w:rsidRPr="0060243E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5F2AA0" w:rsidRDefault="00184603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0E885C9" wp14:editId="1361211A">
          <wp:simplePos x="0" y="0"/>
          <wp:positionH relativeFrom="page">
            <wp:posOffset>3590925</wp:posOffset>
          </wp:positionH>
          <wp:positionV relativeFrom="paragraph">
            <wp:posOffset>1270</wp:posOffset>
          </wp:positionV>
          <wp:extent cx="457200" cy="4572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b74e11c-37e4-4e95-b1ba-4e68878ebc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03" w:rsidRDefault="00184603" w:rsidP="00472120">
      <w:pPr>
        <w:spacing w:after="0" w:line="240" w:lineRule="auto"/>
      </w:pPr>
      <w:r>
        <w:separator/>
      </w:r>
    </w:p>
  </w:footnote>
  <w:footnote w:type="continuationSeparator" w:id="0">
    <w:p w:rsidR="00184603" w:rsidRDefault="00184603" w:rsidP="0047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A0" w:rsidRPr="005F2AA0" w:rsidRDefault="00184603" w:rsidP="005F2AA0">
    <w:pPr>
      <w:pStyle w:val="Encabezado"/>
      <w:jc w:val="center"/>
      <w:rPr>
        <w:rFonts w:ascii="Tahoma" w:hAnsi="Tahoma" w:cs="Tahoma"/>
        <w:b/>
      </w:rPr>
    </w:pPr>
    <w:r>
      <w:rPr>
        <w:b/>
        <w:noProof/>
        <w:sz w:val="40"/>
        <w:szCs w:val="40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4CBB30" wp14:editId="12B6055E">
              <wp:simplePos x="0" y="0"/>
              <wp:positionH relativeFrom="column">
                <wp:posOffset>-2903538</wp:posOffset>
              </wp:positionH>
              <wp:positionV relativeFrom="paragraph">
                <wp:posOffset>4170998</wp:posOffset>
              </wp:positionV>
              <wp:extent cx="5173345" cy="561340"/>
              <wp:effectExtent l="953" t="0" r="9207" b="9208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173345" cy="561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F2AA0" w:rsidRPr="00797470" w:rsidRDefault="00184603" w:rsidP="005F2AA0">
                          <w:pPr>
                            <w:pStyle w:val="Encabezado"/>
                            <w:jc w:val="center"/>
                            <w:rPr>
                              <w:rFonts w:ascii="Tahoma" w:hAnsi="Tahoma" w:cs="Tahoma"/>
                              <w:b/>
                              <w:color w:val="3E5F27"/>
                              <w:sz w:val="32"/>
                            </w:rPr>
                          </w:pPr>
                          <w:r w:rsidRPr="00797470">
                            <w:rPr>
                              <w:rFonts w:ascii="Tahoma" w:hAnsi="Tahoma" w:cs="Tahoma"/>
                              <w:b/>
                              <w:color w:val="3E5F27"/>
                              <w:sz w:val="32"/>
                            </w:rPr>
                            <w:t>PRENTSA OHARRA – NOTA DE PRENSA</w:t>
                          </w:r>
                        </w:p>
                        <w:p w:rsidR="005F2AA0" w:rsidRDefault="00184603" w:rsidP="005F2AA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CBB3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28.65pt;margin-top:328.45pt;width:407.35pt;height:44.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67LTgIAAI8EAAAOAAAAZHJzL2Uyb0RvYy54bWysVE1v2zAMvQ/YfxB0Xx3nq1sQp8hSdBgQ&#10;tAXSoWdFlhsDsqhJSuzs1+9JTrqs22lYDgJFPlPke2TmN12j2UE5X5MpeH414EwZSWVtXgr+7enu&#10;w0fOfBCmFJqMKvhReX6zeP9u3tqZGtKOdKkcQxLjZ60t+C4EO8syL3eqEf6KrDIIVuQaEXB1L1np&#10;RIvsjc6Gg8E0a8mV1pFU3sN72wf5IuWvKiXDQ1V5FZguOGoL6XTp3MYzW8zF7MUJu6vlqQzxD1U0&#10;ojZ49DXVrQiC7V39R6qmlo48VeFKUpNRVdVSpR7QTT54081mJ6xKvYAcb19p8v8vrbw/PDpWlwUf&#10;cmZEA4lWe1E6YqViQXWB2DCS1Fo/A3ZjgQ7dZ+og9tnv4Yy9d5VrmCNwnE+hDX6JEjTJAAf7x1fG&#10;kZhJOCf59Wg0nnAmEZtM89E4SZL1yWJS63z4oqhh0Si4g6IpqzisfUBhgJ4hEe5J1+VdrXW6xClS&#10;K+3YQUB/HVLJ+OI3lDasLfh0NOnLNRQ/7zNrgwdi632L0QrdtjvxsaXyCDpSx+jOW3lXo8i18OFR&#10;OIwRnFiN8ICj0oRH6GRxtiP342/+iIe6iHLWYiwL7r/vhVOc6a8Gun/Kx6CIhXQZT66HuLjLyPYy&#10;YvbNitB5nqpLZsQHfTYrR80zNmgZX0VIGIm3Cx7O5ir0y4INlGq5TCBMrhVhbTZWxtRnlZ66Z+Hs&#10;Sac4Ovd0HmAxeyNXj41fGlruA1V10jIS3LN64h1TnyQ+bWhcq8t7Qv36H1n8BAAA//8DAFBLAwQU&#10;AAYACAAAACEAKLO1iN4AAAALAQAADwAAAGRycy9kb3ducmV2LnhtbEyPy07DMBBF90j8gzVI7FI7&#10;oUAa4lSIxwfQsGDpxkMcEdtR7NShX8+wgtVoNEd3zq33qx3ZCecweCch3whg6DqvB9dLeG9fsxJY&#10;iMppNXqHEr4xwL65vKhVpX1yb3g6xJ5RiAuVkmBinCrOQ2fQqrDxEzq6ffrZqkjr3HM9q0ThduSF&#10;EHfcqsHRB6MmfDLYfR0WKyG8pEKsIZ3LpTWBt7Y/fzwnKa+v1scHYBHX+AfDrz6pQ0NOR784Hdgo&#10;Idttc0IlFLube2BEZLc0j0TmotwCb2r+v0PzAwAA//8DAFBLAQItABQABgAIAAAAIQC2gziS/gAA&#10;AOEBAAATAAAAAAAAAAAAAAAAAAAAAABbQ29udGVudF9UeXBlc10ueG1sUEsBAi0AFAAGAAgAAAAh&#10;ADj9If/WAAAAlAEAAAsAAAAAAAAAAAAAAAAALwEAAF9yZWxzLy5yZWxzUEsBAi0AFAAGAAgAAAAh&#10;AEjbrstOAgAAjwQAAA4AAAAAAAAAAAAAAAAALgIAAGRycy9lMm9Eb2MueG1sUEsBAi0AFAAGAAgA&#10;AAAhACiztYjeAAAACwEAAA8AAAAAAAAAAAAAAAAAqAQAAGRycy9kb3ducmV2LnhtbFBLBQYAAAAA&#10;BAAEAPMAAACzBQAAAAA=&#10;" fillcolor="white [3201]" stroked="f" strokeweight=".5pt">
              <v:textbox>
                <w:txbxContent>
                  <w:p w:rsidR="005F2AA0" w:rsidRPr="00797470" w:rsidRDefault="00184603" w:rsidP="005F2AA0">
                    <w:pPr>
                      <w:pStyle w:val="Encabezado"/>
                      <w:jc w:val="center"/>
                      <w:rPr>
                        <w:rFonts w:ascii="Tahoma" w:hAnsi="Tahoma" w:cs="Tahoma"/>
                        <w:b/>
                        <w:color w:val="3E5F27"/>
                        <w:sz w:val="32"/>
                      </w:rPr>
                    </w:pPr>
                    <w:r w:rsidRPr="00797470">
                      <w:rPr>
                        <w:rFonts w:ascii="Tahoma" w:hAnsi="Tahoma" w:cs="Tahoma"/>
                        <w:b/>
                        <w:color w:val="3E5F27"/>
                        <w:sz w:val="32"/>
                      </w:rPr>
                      <w:t>PRENTSA OHARRA – NOTA DE PRENSA</w:t>
                    </w:r>
                  </w:p>
                  <w:p w:rsidR="005F2AA0" w:rsidRDefault="00184603" w:rsidP="005F2AA0"/>
                </w:txbxContent>
              </v:textbox>
            </v:shape>
          </w:pict>
        </mc:Fallback>
      </mc:AlternateContent>
    </w:r>
    <w:r w:rsidRPr="005F2AA0">
      <w:rPr>
        <w:rFonts w:ascii="Tahoma" w:hAnsi="Tahoma" w:cs="Tahoma"/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6BF8B452" wp14:editId="3F2AB170">
          <wp:simplePos x="0" y="0"/>
          <wp:positionH relativeFrom="column">
            <wp:posOffset>1976120</wp:posOffset>
          </wp:positionH>
          <wp:positionV relativeFrom="paragraph">
            <wp:posOffset>-455295</wp:posOffset>
          </wp:positionV>
          <wp:extent cx="1447800" cy="144780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\AppData\Local\Microsoft\Windows\INetCache\Content.Word\j0Lp6fW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726D1"/>
    <w:multiLevelType w:val="hybridMultilevel"/>
    <w:tmpl w:val="96AE1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507A9"/>
    <w:multiLevelType w:val="hybridMultilevel"/>
    <w:tmpl w:val="1F7AF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20"/>
    <w:rsid w:val="00184603"/>
    <w:rsid w:val="00472120"/>
    <w:rsid w:val="007B7CAA"/>
    <w:rsid w:val="00800147"/>
    <w:rsid w:val="00A6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B90C"/>
  <w15:chartTrackingRefBased/>
  <w15:docId w15:val="{15016F76-BE50-472B-AF21-FDC66086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120"/>
  </w:style>
  <w:style w:type="paragraph" w:styleId="Piedepgina">
    <w:name w:val="footer"/>
    <w:basedOn w:val="Normal"/>
    <w:link w:val="PiedepginaCar"/>
    <w:uiPriority w:val="99"/>
    <w:unhideWhenUsed/>
    <w:rsid w:val="00472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120"/>
  </w:style>
  <w:style w:type="paragraph" w:styleId="Prrafodelista">
    <w:name w:val="List Paragraph"/>
    <w:basedOn w:val="Normal"/>
    <w:uiPriority w:val="34"/>
    <w:qFormat/>
    <w:rsid w:val="004721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2857</Characters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2021-12-17T12:39:00Z</dcterms:created>
  <dcterms:modified xsi:type="dcterms:W3CDTF">2021-12-17T12:45:00Z</dcterms:modified>
</cp:coreProperties>
</file>