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jpeg" ContentType="image/jpe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er3.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b/>
          <w:i/>
          <w:i/>
        </w:rPr>
      </w:pPr>
      <w:r>
        <w:rPr>
          <w:b/>
          <w:i/>
        </w:rPr>
      </w:r>
    </w:p>
    <w:p>
      <w:pPr>
        <w:pStyle w:val="Normal"/>
        <w:pBdr/>
        <w:spacing w:lineRule="auto" w:line="276" w:before="0" w:after="200"/>
        <w:jc w:val="center"/>
        <w:rPr>
          <w:rFonts w:ascii="Tahoma" w:hAnsi="Tahoma" w:eastAsia="Tahoma" w:cs="Tahoma"/>
          <w:b/>
          <w:sz w:val="44"/>
          <w:szCs w:val="44"/>
        </w:rPr>
      </w:pPr>
      <w:r>
        <w:rPr>
          <w:rFonts w:eastAsia="Tahoma" w:cs="Tahoma" w:ascii="Tahoma" w:hAnsi="Tahoma"/>
          <w:b/>
          <w:sz w:val="44"/>
          <w:szCs w:val="44"/>
        </w:rPr>
        <w:t xml:space="preserve">EAJ-PNVk administrazio batzarrak finantzatzeko udal ordenantza ez betetzea Pruden Otegi alkateari leporatu dio </w:t>
      </w:r>
    </w:p>
    <w:p>
      <w:pPr>
        <w:pStyle w:val="Normal"/>
        <w:numPr>
          <w:ilvl w:val="0"/>
          <w:numId w:val="1"/>
        </w:numPr>
        <w:pBdr/>
        <w:spacing w:lineRule="auto" w:line="360" w:before="0" w:after="200"/>
        <w:jc w:val="both"/>
        <w:rPr>
          <w:rFonts w:ascii="Tahoma" w:hAnsi="Tahoma" w:eastAsia="Tahoma" w:cs="Tahoma"/>
          <w:i/>
          <w:i/>
          <w:color w:val="000000"/>
          <w:sz w:val="28"/>
          <w:szCs w:val="28"/>
        </w:rPr>
      </w:pPr>
      <w:r>
        <w:rPr>
          <w:rFonts w:eastAsia="Tahoma" w:cs="Tahoma" w:ascii="Tahoma" w:hAnsi="Tahoma"/>
          <w:i/>
          <w:color w:val="000000"/>
          <w:sz w:val="28"/>
          <w:szCs w:val="28"/>
        </w:rPr>
        <w:t>Juntek orain arte ez dute kobratu urteko lehen hiruhilekoan jaso behar zuten ordainketaren %50</w:t>
      </w:r>
    </w:p>
    <w:p>
      <w:pPr>
        <w:pStyle w:val="Normal"/>
        <w:spacing w:lineRule="auto" w:line="360"/>
        <w:jc w:val="both"/>
        <w:rPr>
          <w:rFonts w:ascii="Tahoma" w:hAnsi="Tahoma" w:eastAsia="Tahoma" w:cs="Tahoma"/>
        </w:rPr>
      </w:pPr>
      <w:r>
        <w:rPr>
          <w:rFonts w:eastAsia="Century Gothic" w:cs="Century Gothic" w:ascii="Century Gothic" w:hAnsi="Century Gothic"/>
          <w:i/>
        </w:rPr>
        <w:t>Aiara, 2025eko urriaren 15a. –</w:t>
      </w:r>
      <w:r>
        <w:rPr/>
        <w:t xml:space="preserve"> </w:t>
      </w:r>
      <w:r>
        <w:rPr>
          <w:rFonts w:eastAsia="Tahoma" w:cs="Tahoma" w:ascii="Tahoma" w:hAnsi="Tahoma"/>
          <w:b/>
          <w:bCs/>
        </w:rPr>
        <w:t>Eusko Alderdi Jeltzaleak</w:t>
      </w:r>
      <w:r>
        <w:rPr>
          <w:rFonts w:eastAsia="Tahoma" w:cs="Tahoma" w:ascii="Tahoma" w:hAnsi="Tahoma"/>
        </w:rPr>
        <w:t xml:space="preserve"> kritikatu egin du Pruden Otegi EH-Bilduko alkatea buru duen Aiarako Udalak bere jarduerari dagozkion hogeita hiru administrazio-batzarrei lehen ordainketa egiteko izan duen atzerapena. Ordainketa osoa astelehen honetan egin bada ere, diru-sarreraren %50 2025eko lehen hiruhilekoan egin behar zen, 2017an jeltzaleen agintaldian onartutako ordenantza arautzaileak ezartzen duen bezala. Ordenantza horrek bi ordainketa finkatzen ditu: erdia urte hasieran, eta gainerakoa amaieran.</w:t>
      </w:r>
    </w:p>
    <w:p>
      <w:pPr>
        <w:pStyle w:val="Normal"/>
        <w:spacing w:lineRule="auto" w:line="360"/>
        <w:jc w:val="both"/>
        <w:rPr>
          <w:rFonts w:ascii="Tahoma" w:hAnsi="Tahoma" w:eastAsia="Tahoma" w:cs="Tahoma"/>
        </w:rPr>
      </w:pPr>
      <w:r>
        <w:rPr>
          <w:rFonts w:eastAsia="Tahoma" w:cs="Tahoma" w:ascii="Tahoma" w:hAnsi="Tahoma"/>
        </w:rPr>
        <w:t xml:space="preserve">"Alkateak ordenantzak ezarritako epeak ez betetzeaz gain, Administrazio Batzarren Batzordeko presidente zela ere bete ditu. Paradoxikoa da arau hau betetzen dela zaindu beharko lukeena araua ez ikusiarena egiten duena izatea", esan du </w:t>
      </w:r>
      <w:r>
        <w:rPr>
          <w:rFonts w:eastAsia="Tahoma" w:cs="Tahoma" w:ascii="Tahoma" w:hAnsi="Tahoma"/>
          <w:b/>
          <w:bCs/>
        </w:rPr>
        <w:t>Gentza Alamillo</w:t>
      </w:r>
      <w:r>
        <w:rPr>
          <w:rFonts w:eastAsia="Tahoma" w:cs="Tahoma" w:ascii="Tahoma" w:hAnsi="Tahoma"/>
        </w:rPr>
        <w:t xml:space="preserve"> Udal Talde jeltzalearen bozeramaileak.</w:t>
      </w:r>
    </w:p>
    <w:p>
      <w:pPr>
        <w:pStyle w:val="Normal"/>
        <w:spacing w:lineRule="auto" w:line="360"/>
        <w:jc w:val="both"/>
        <w:rPr>
          <w:rFonts w:ascii="Tahoma" w:hAnsi="Tahoma" w:eastAsia="Tahoma" w:cs="Tahoma"/>
        </w:rPr>
      </w:pPr>
      <w:r>
        <w:rPr>
          <w:rFonts w:eastAsia="Tahoma" w:cs="Tahoma" w:ascii="Tahoma" w:hAnsi="Tahoma"/>
        </w:rPr>
        <w:t>EAJ-PNVk gogorarazi du ordenantza, hain zuzen ere, administrazio batzarren likidezia bermatzeko sortu zela, eta euren jarduera segurtasunez eta autonomiaz urte osoan zehar planifikatu ahal izateko. "Helburua batzarrei finantza-aurreikusgarritasuna eskaintzea zen, beren ohiko gastuei erantzun ahal izateko, erabaki arbitrarioen mende egon gabe. Ez du zentzurik urteko laugarren hiruhilekora arte itxaron izana lehen hilabeteetan %50ean iritsi behar zuen dirua jasotzeko", azaldu du Alamillok.</w:t>
      </w:r>
    </w:p>
    <w:p>
      <w:pPr>
        <w:pStyle w:val="Normal"/>
        <w:spacing w:lineRule="auto" w:line="360"/>
        <w:jc w:val="both"/>
        <w:rPr>
          <w:rFonts w:ascii="Tahoma" w:hAnsi="Tahoma" w:eastAsia="Tahoma" w:cs="Tahoma"/>
        </w:rPr>
      </w:pPr>
      <w:r>
        <w:rPr>
          <w:rFonts w:eastAsia="Tahoma" w:cs="Tahoma" w:ascii="Tahoma" w:hAnsi="Tahoma"/>
        </w:rPr>
      </w:r>
    </w:p>
    <w:p>
      <w:pPr>
        <w:pStyle w:val="Normal"/>
        <w:spacing w:lineRule="auto" w:line="360"/>
        <w:jc w:val="both"/>
        <w:rPr>
          <w:rFonts w:ascii="Tahoma" w:hAnsi="Tahoma" w:eastAsia="Tahoma" w:cs="Tahoma"/>
          <w:b/>
          <w:bCs/>
        </w:rPr>
      </w:pPr>
      <w:r>
        <w:rPr>
          <w:rFonts w:eastAsia="Tahoma" w:cs="Tahoma" w:ascii="Tahoma" w:hAnsi="Tahoma"/>
          <w:b/>
          <w:bCs/>
        </w:rPr>
        <w:t>Planifikazio eta kontsiderazio falta</w:t>
      </w:r>
    </w:p>
    <w:p>
      <w:pPr>
        <w:pStyle w:val="Normal"/>
        <w:spacing w:lineRule="auto" w:line="360"/>
        <w:jc w:val="both"/>
        <w:rPr>
          <w:rFonts w:ascii="Tahoma" w:hAnsi="Tahoma" w:eastAsia="Tahoma" w:cs="Tahoma"/>
        </w:rPr>
      </w:pPr>
      <w:r>
        <w:rPr>
          <w:rFonts w:eastAsia="Tahoma" w:cs="Tahoma" w:ascii="Tahoma" w:hAnsi="Tahoma"/>
        </w:rPr>
        <w:t>EAJ-PNVren ustez, egoera horrek agerian uzten du Gobernu Taldeak administrazio batzarrekiko duen planifikazio eta sentsibilitate falta, eta gogorarazi du EAJk bultzatutako ordenantza bera tresna aitzindaria izan zela eskualdean bere autonomia ekonomikoa indartzeko. "Erakunde horiek osatzen duten sareak Aiarako gizarte- eta komunitate-bizitzaren zati handi bati eusten dio. Hori dela eta, dagokien dirua atzeratzea, praktikan, euren lana betetzen jarraitzeko oztopoak jartzea da", adierazi du bozeramaile jeltzaleak.</w:t>
      </w:r>
    </w:p>
    <w:p>
      <w:pPr>
        <w:pStyle w:val="Normal"/>
        <w:spacing w:lineRule="auto" w:line="360"/>
        <w:jc w:val="both"/>
        <w:rPr>
          <w:rFonts w:ascii="Tahoma" w:hAnsi="Tahoma" w:eastAsia="Tahoma" w:cs="Tahoma"/>
        </w:rPr>
      </w:pPr>
      <w:r>
        <w:rPr>
          <w:rFonts w:eastAsia="Tahoma" w:cs="Tahoma" w:ascii="Tahoma" w:hAnsi="Tahoma"/>
        </w:rPr>
      </w:r>
    </w:p>
    <w:p>
      <w:pPr>
        <w:pStyle w:val="Normal"/>
        <w:spacing w:lineRule="auto" w:line="360"/>
        <w:jc w:val="both"/>
        <w:rPr>
          <w:rFonts w:ascii="Tahoma" w:hAnsi="Tahoma" w:eastAsia="Tahoma" w:cs="Tahoma"/>
        </w:rPr>
      </w:pPr>
      <w:r>
        <w:rPr>
          <w:rFonts w:eastAsia="Tahoma" w:cs="Tahoma" w:ascii="Tahoma" w:hAnsi="Tahoma"/>
        </w:rPr>
      </w:r>
    </w:p>
    <w:p>
      <w:pPr>
        <w:pStyle w:val="Normal"/>
        <w:spacing w:lineRule="auto" w:line="360"/>
        <w:jc w:val="both"/>
        <w:rPr>
          <w:rFonts w:ascii="Tahoma" w:hAnsi="Tahoma" w:eastAsia="Tahoma" w:cs="Tahoma"/>
        </w:rPr>
      </w:pPr>
      <w:r>
        <w:rPr>
          <w:rFonts w:eastAsia="Tahoma" w:cs="Tahoma" w:ascii="Tahoma" w:hAnsi="Tahoma"/>
        </w:rPr>
        <w:t xml:space="preserve">Horregatik guztiagatik, EAJ-PNVk Pruden Otegi alkateari eskatzen dio udal ordenantzak datozen ekitaldietan ezarritako ordainketa-epeak zorrotz betetzeko, batzarrek dagokien finantzaketa garaiz eta behar bezala jaso dezaten. </w:t>
      </w:r>
      <w:r>
        <w:rPr>
          <w:rFonts w:eastAsia="Tahoma" w:cs="Tahoma" w:ascii="Tahoma" w:hAnsi="Tahoma"/>
          <w:b/>
          <w:bCs/>
        </w:rPr>
        <w:t>Alderdi jeltzaleak berretsi egin du Aiarako administrazio-batzarrekin duen konpromisoa, eta adi jarraituko du udal-finantzaketa gardentasunez, seriotasunez eta puntualtasunez kudea dadin, indarrean dagoen araudiak eskatzen duen bezala.</w:t>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Fonts w:eastAsia="Tahoma" w:cs="Tahoma" w:ascii="Tahoma" w:hAnsi="Tahoma"/>
          <w:b/>
          <w:sz w:val="48"/>
          <w:szCs w:val="48"/>
        </w:rPr>
      </w:r>
    </w:p>
    <w:p>
      <w:pPr>
        <w:pStyle w:val="Normal"/>
        <w:pBdr/>
        <w:spacing w:lineRule="auto" w:line="360" w:before="0" w:after="200"/>
        <w:jc w:val="center"/>
        <w:rPr>
          <w:rFonts w:ascii="Tahoma" w:hAnsi="Tahoma" w:eastAsia="Tahoma" w:cs="Tahoma"/>
          <w:b/>
          <w:sz w:val="48"/>
          <w:szCs w:val="48"/>
        </w:rPr>
      </w:pPr>
      <w:r>
        <w:rPr/>
      </w:r>
    </w:p>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276" w:right="991" w:gutter="0" w:header="709" w:top="1276" w:footer="708" w:bottom="765"/>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Light">
    <w:charset w:val="00"/>
    <w:family w:val="swiss"/>
    <w:pitch w:val="variable"/>
    <w:embedRegular r:id="rId18" w:fontKey="{12014A78-CABC-4EF0-12AC-5CD89AEFDE12}"/>
  </w:font>
  <w:font w:name="Liberation Sans">
    <w:altName w:val="Arial"/>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Georgia">
    <w:charset w:val="00"/>
    <w:family w:val="roman"/>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Tahoma">
    <w:charset w:val="00"/>
    <w:family w:val="swiss"/>
    <w:pitch w:val="variable"/>
    <w:embedRegular r:id="rId27" w:fontKey="{1B014A78-CABC-4EF0-12AC-5CD89AEFDE1B}"/>
    <w:embedBold r:id="rId28" w:fontKey="{1C014A78-CABC-4EF0-12AC-5CD89AEFDE1C}"/>
  </w:font>
  <w:font w:name="Century Gothic">
    <w:charset w:val="00"/>
    <w:family w:val="swiss"/>
    <w:pitch w:val="variable"/>
    <w:embedRegular r:id="rId29" w:fontKey="{1D014A78-CABC-4EF0-12AC-5CD89AEFDE1D}"/>
    <w:embedBold r:id="rId30" w:fontKey="{1E014A78-CABC-4EF0-12AC-5CD89AEFDE1E}"/>
    <w:embedItalic r:id="rId30" w:fontKey="{1E014A78-CABC-4EF0-12AC-5CD89AEFDE1E}"/>
  </w:font>
  <w:font w:name="Tahoma">
    <w:charset w:val="01"/>
    <w:family w:val="swiss"/>
    <w:pitch w:val="variable"/>
    <w:embedRegular r:id="rId27" w:fontKey="{1B014A78-CABC-4EF0-12AC-5CD89AEFDE1B}"/>
    <w:embedBold r:id="rId28" w:fontKey="{1C014A78-CABC-4EF0-12AC-5CD89AEFDE1C}"/>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 w:name="Noto Sans Symbols">
    <w:charset w:val="01"/>
    <w:family w:val="swiss"/>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drawing>
        <wp:anchor behindDoc="1" distT="0" distB="0" distL="114300" distR="114300" simplePos="0" locked="0" layoutInCell="0" allowOverlap="1" relativeHeight="3">
          <wp:simplePos x="0" y="0"/>
          <wp:positionH relativeFrom="column">
            <wp:posOffset>2780665</wp:posOffset>
          </wp:positionH>
          <wp:positionV relativeFrom="paragraph">
            <wp:posOffset>1270</wp:posOffset>
          </wp:positionV>
          <wp:extent cx="457200" cy="457200"/>
          <wp:effectExtent l="0" t="0" r="0" b="0"/>
          <wp:wrapSquare wrapText="bothSides"/>
          <wp:docPr id="1"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drawing>
        <wp:anchor behindDoc="1" distT="0" distB="0" distL="114300" distR="114300" simplePos="0" locked="0" layoutInCell="0" allowOverlap="1" relativeHeight="3">
          <wp:simplePos x="0" y="0"/>
          <wp:positionH relativeFrom="column">
            <wp:posOffset>2780665</wp:posOffset>
          </wp:positionH>
          <wp:positionV relativeFrom="paragraph">
            <wp:posOffset>1270</wp:posOffset>
          </wp:positionV>
          <wp:extent cx="457200" cy="457200"/>
          <wp:effectExtent l="0" t="0" r="0" b="0"/>
          <wp:wrapSquare wrapText="bothSides"/>
          <wp:docPr id="2"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numFmt w:val="bullet"/>
      <w:lvlText w:val="•"/>
      <w:lvlJc w:val="left"/>
      <w:pPr>
        <w:tabs>
          <w:tab w:val="num" w:pos="0"/>
        </w:tabs>
        <w:ind w:left="720" w:hanging="360"/>
      </w:pPr>
      <w:rPr>
        <w:rFonts w:ascii="Tahoma" w:hAnsi="Tahoma" w:cs="Tahoma" w:hint="default"/>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89"/>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es-ES" w:eastAsia="es-E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Calibri"/>
      <w:color w:val="auto"/>
      <w:kern w:val="0"/>
      <w:sz w:val="22"/>
      <w:szCs w:val="22"/>
      <w:lang w:val="es-ES" w:eastAsia="es-ES"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semiHidden/>
    <w:unhideWhenUsed/>
    <w:qFormat/>
    <w:pPr>
      <w:keepNext w:val="true"/>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val="true"/>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EncabezadoCar" w:customStyle="1">
    <w:name w:val="Encabezado Car"/>
    <w:basedOn w:val="DefaultParagraphFont"/>
    <w:uiPriority w:val="99"/>
    <w:qFormat/>
    <w:rsid w:val="00bb00e0"/>
    <w:rPr/>
  </w:style>
  <w:style w:type="character" w:styleId="PiedepginaCar" w:customStyle="1">
    <w:name w:val="Pie de página Car"/>
    <w:basedOn w:val="DefaultParagraphFont"/>
    <w:uiPriority w:val="99"/>
    <w:qFormat/>
    <w:rsid w:val="00bb00e0"/>
    <w:rPr/>
  </w:style>
  <w:style w:type="character" w:styleId="Ttulo2Car" w:customStyle="1">
    <w:name w:val="Título 2 Car"/>
    <w:basedOn w:val="DefaultParagraphFont"/>
    <w:uiPriority w:val="9"/>
    <w:qFormat/>
    <w:rsid w:val="00843737"/>
    <w:rPr>
      <w:rFonts w:ascii="Calibri Light" w:hAnsi="Calibri Light" w:eastAsia="" w:cs="" w:asciiTheme="majorHAnsi" w:cstheme="majorBidi" w:eastAsiaTheme="majorEastAsia" w:hAnsiTheme="majorHAnsi"/>
      <w:color w:themeColor="accent1" w:themeShade="bf" w:val="2F5496"/>
      <w:sz w:val="26"/>
      <w:szCs w:val="26"/>
    </w:rPr>
  </w:style>
  <w:style w:type="character" w:styleId="Ttulo3Car" w:customStyle="1">
    <w:name w:val="Título 3 Car"/>
    <w:basedOn w:val="DefaultParagraphFont"/>
    <w:uiPriority w:val="9"/>
    <w:semiHidden/>
    <w:qFormat/>
    <w:rsid w:val="00db2bd2"/>
    <w:rPr>
      <w:rFonts w:ascii="Calibri Light" w:hAnsi="Calibri Light" w:eastAsia="" w:cs="" w:asciiTheme="majorHAnsi" w:cstheme="majorBidi" w:eastAsiaTheme="majorEastAsia" w:hAnsiTheme="majorHAnsi"/>
      <w:color w:themeColor="accent1" w:themeShade="7f" w:val="1F3763"/>
      <w:sz w:val="24"/>
      <w:szCs w:val="24"/>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uiPriority w:val="10"/>
    <w:qFormat/>
    <w:pPr>
      <w:keepNext w:val="true"/>
      <w:keepLines/>
      <w:spacing w:before="480" w:after="120"/>
    </w:pPr>
    <w:rPr>
      <w:b/>
      <w:sz w:val="72"/>
      <w:szCs w:val="72"/>
    </w:rPr>
  </w:style>
  <w:style w:type="paragraph" w:styleId="Cabeceraypie">
    <w:name w:val="Cabecera y pie"/>
    <w:basedOn w:val="Normal"/>
    <w:qFormat/>
    <w:pPr/>
    <w:rPr/>
  </w:style>
  <w:style w:type="paragraph" w:styleId="Header">
    <w:name w:val="header"/>
    <w:basedOn w:val="Normal"/>
    <w:link w:val="EncabezadoCar"/>
    <w:uiPriority w:val="99"/>
    <w:unhideWhenUsed/>
    <w:rsid w:val="00bb00e0"/>
    <w:pPr>
      <w:tabs>
        <w:tab w:val="clear" w:pos="720"/>
        <w:tab w:val="center" w:pos="4252" w:leader="none"/>
        <w:tab w:val="right" w:pos="8504" w:leader="none"/>
      </w:tabs>
      <w:spacing w:lineRule="auto" w:line="240" w:before="0" w:after="0"/>
    </w:pPr>
    <w:rPr/>
  </w:style>
  <w:style w:type="paragraph" w:styleId="Footer">
    <w:name w:val="footer"/>
    <w:basedOn w:val="Normal"/>
    <w:link w:val="PiedepginaCar"/>
    <w:uiPriority w:val="99"/>
    <w:unhideWhenUsed/>
    <w:rsid w:val="00bb00e0"/>
    <w:pPr>
      <w:tabs>
        <w:tab w:val="clear" w:pos="720"/>
        <w:tab w:val="center" w:pos="4252" w:leader="none"/>
        <w:tab w:val="right" w:pos="8504" w:leader="none"/>
      </w:tabs>
      <w:spacing w:lineRule="auto" w:line="240" w:before="0" w:after="0"/>
    </w:pPr>
    <w:rPr/>
  </w:style>
  <w:style w:type="paragraph" w:styleId="NormalWeb">
    <w:name w:val="Normal (Web)"/>
    <w:basedOn w:val="Normal"/>
    <w:uiPriority w:val="99"/>
    <w:unhideWhenUsed/>
    <w:qFormat/>
    <w:rsid w:val="00bb00e0"/>
    <w:pPr>
      <w:spacing w:lineRule="auto" w:line="240" w:beforeAutospacing="1" w:afterAutospacing="1"/>
    </w:pPr>
    <w:rPr>
      <w:rFonts w:ascii="Times New Roman" w:hAnsi="Times New Roman" w:eastAsia="Times New Roman" w:cs="Times New Roman"/>
      <w:sz w:val="24"/>
      <w:szCs w:val="24"/>
    </w:rPr>
  </w:style>
  <w:style w:type="paragraph" w:styleId="ListParagraph">
    <w:name w:val="List Paragraph"/>
    <w:basedOn w:val="Normal"/>
    <w:uiPriority w:val="34"/>
    <w:qFormat/>
    <w:rsid w:val="00a4436e"/>
    <w:pPr>
      <w:spacing w:lineRule="auto" w:line="276" w:before="0" w:after="200"/>
      <w:ind w:left="720"/>
      <w:contextualSpacing/>
    </w:pPr>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Contenidodelmarco">
    <w:name w:val="Contenido del marco"/>
    <w:basedOn w:val="Normal"/>
    <w:qFormat/>
    <w:pPr/>
    <w:rPr/>
  </w:style>
  <w:style w:type="numbering" w:styleId="Ningunalista" w:default="1">
    <w:name w:val="Ninguna lista"/>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 w:type="table" w:customStyle="1" w:styleId="TableNormal0">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
</Relationships>
</file>

<file path=word/_rels/footer2.xml.rels><?xml version="1.0" encoding="UTF-8"?>
<Relationships xmlns="http://schemas.openxmlformats.org/package/2006/relationships"><Relationship Id="rId1" Type="http://schemas.openxmlformats.org/officeDocument/2006/relationships/image" Target="media/image1.jpeg"/>
</Relationships>
</file>

<file path=word/_rels/footer3.xml.rels><?xml version="1.0" encoding="UTF-8"?>
<Relationships xmlns="http://schemas.openxmlformats.org/package/2006/relationships"><Relationship Id="rId1" Type="http://schemas.openxmlformats.org/officeDocument/2006/relationships/image" Target="media/image1.jpeg"/>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awhsiRyb2XXpDCboGOU4aYOwqLQ==">CgMxLjA4AHIhMWlVVzZYZmp2dTNyUG5qajNyYk81YlFUQmQxY18wV3hh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31</TotalTime>
  <Application>LibreOffice/25.2.5.2$Windows_X86_64 LibreOffice_project/03d19516eb2e1dd5d4ccd751a0d6f35f35e08022</Application>
  <AppVersion>15.0000</AppVersion>
  <Pages>2</Pages>
  <Words>316</Words>
  <Characters>2237</Characters>
  <CharactersWithSpaces>2545</CharactersWithSpaces>
  <Paragraphs>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2025-03-05T15:23:00Z</dcterms:created>
  <dc:creator/>
  <dc:description/>
  <dc:language>es-ES</dc:language>
  <cp:lastModifiedBy/>
  <dcterms:modified xsi:type="dcterms:W3CDTF">2025-10-16T12:31:08Z</dcterms:modified>
  <cp:revision>1</cp:revision>
  <dc:subject/>
  <dc:title/>
</cp:coreProperties>
</file>

<file path=docProps/custom.xml><?xml version="1.0" encoding="utf-8"?>
<Properties xmlns="http://schemas.openxmlformats.org/officeDocument/2006/custom-properties" xmlns:vt="http://schemas.openxmlformats.org/officeDocument/2006/docPropsVTypes"/>
</file>