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jpeg" ContentType="image/jpeg"/>
  <Override PartName="/word/media/image2.jpeg" ContentType="image/jpe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jc w:val="center"/>
        <w:rPr>
          <w:rFonts w:ascii="Tahoma" w:hAnsi="Tahoma" w:eastAsia="Tahoma" w:cs="Tahoma"/>
          <w:b/>
          <w:sz w:val="28"/>
          <w:szCs w:val="28"/>
        </w:rPr>
      </w:pPr>
      <w:r>
        <w:rPr>
          <w:rFonts w:eastAsia="Tahoma" w:cs="Tahoma" w:ascii="Tahoma" w:hAnsi="Tahoma"/>
          <w:b/>
          <w:sz w:val="28"/>
          <w:szCs w:val="28"/>
        </w:rPr>
      </w:r>
    </w:p>
    <w:p>
      <w:pPr>
        <w:pStyle w:val="Normal"/>
        <w:jc w:val="center"/>
        <w:rPr>
          <w:rFonts w:ascii="Tahoma" w:hAnsi="Tahoma" w:eastAsia="Tahoma" w:cs="Tahoma"/>
          <w:b/>
          <w:sz w:val="52"/>
          <w:szCs w:val="52"/>
        </w:rPr>
      </w:pPr>
      <w:r>
        <w:rPr>
          <w:rFonts w:eastAsia="Tahoma" w:cs="Tahoma" w:ascii="Tahoma" w:hAnsi="Tahoma"/>
          <w:b/>
          <w:sz w:val="52"/>
          <w:szCs w:val="52"/>
        </w:rPr>
        <w:t>EAJ-PNVk ohartarazi duenez, "EH-Bilduren kudeaketa faltak Aiarako elkarteak zigortzen ditu berriro"</w:t>
      </w:r>
    </w:p>
    <w:p>
      <w:pPr>
        <w:pStyle w:val="Normal"/>
        <w:rPr/>
      </w:pPr>
      <w:r>
        <w:rPr/>
      </w:r>
    </w:p>
    <w:p>
      <w:pPr>
        <w:pStyle w:val="ListParagraph"/>
        <w:numPr>
          <w:ilvl w:val="0"/>
          <w:numId w:val="1"/>
        </w:numPr>
        <w:jc w:val="both"/>
        <w:rPr>
          <w:rFonts w:ascii="Tahoma" w:hAnsi="Tahoma" w:eastAsia="Tahoma" w:cs="Tahoma"/>
          <w:i/>
          <w:i/>
          <w:color w:val="000000"/>
          <w:sz w:val="28"/>
          <w:szCs w:val="28"/>
        </w:rPr>
      </w:pPr>
      <w:r>
        <w:rPr>
          <w:rFonts w:eastAsia="Tahoma" w:cs="Tahoma" w:ascii="Tahoma" w:hAnsi="Tahoma"/>
          <w:i/>
          <w:color w:val="000000"/>
          <w:sz w:val="28"/>
          <w:szCs w:val="28"/>
        </w:rPr>
        <w:t>Udalerriko gizarte-, kultura- eta kirol-erakundeek 2024ko dirulaguntzen bigarren ordainketa kobratu gabe jarraitzen dute, ekaina hastear dagoela</w:t>
      </w:r>
    </w:p>
    <w:p>
      <w:pPr>
        <w:pStyle w:val="ListParagraph"/>
        <w:jc w:val="both"/>
        <w:rPr>
          <w:rFonts w:ascii="Tahoma" w:hAnsi="Tahoma" w:eastAsia="Tahoma" w:cs="Tahoma"/>
          <w:i/>
          <w:i/>
          <w:color w:val="000000"/>
          <w:sz w:val="28"/>
          <w:szCs w:val="28"/>
        </w:rPr>
      </w:pPr>
      <w:r>
        <w:rPr>
          <w:rFonts w:eastAsia="Tahoma" w:cs="Tahoma" w:ascii="Tahoma" w:hAnsi="Tahoma"/>
          <w:i/>
          <w:color w:val="000000"/>
          <w:sz w:val="28"/>
          <w:szCs w:val="28"/>
        </w:rPr>
      </w:r>
    </w:p>
    <w:p>
      <w:pPr>
        <w:pStyle w:val="ListParagraph"/>
        <w:numPr>
          <w:ilvl w:val="0"/>
          <w:numId w:val="1"/>
        </w:numPr>
        <w:jc w:val="both"/>
        <w:rPr>
          <w:rFonts w:ascii="Tahoma" w:hAnsi="Tahoma" w:eastAsia="Tahoma" w:cs="Tahoma"/>
          <w:i/>
          <w:i/>
          <w:color w:val="000000"/>
          <w:sz w:val="28"/>
          <w:szCs w:val="28"/>
        </w:rPr>
      </w:pPr>
      <w:r>
        <w:rPr>
          <w:rFonts w:eastAsia="Tahoma" w:cs="Tahoma" w:ascii="Tahoma" w:hAnsi="Tahoma"/>
          <w:i/>
          <w:color w:val="000000"/>
          <w:sz w:val="28"/>
          <w:szCs w:val="28"/>
        </w:rPr>
        <w:t>Jeltzaleek udalerriko bizitza soziokulturala dinamizatzen dutenekiko plangintza eta errespetu handiagoa eskatzen diote gobernu-taldeari</w:t>
      </w:r>
    </w:p>
    <w:p>
      <w:pPr>
        <w:pStyle w:val="Normal"/>
        <w:rPr/>
      </w:pPr>
      <w:r>
        <w:rPr/>
      </w:r>
    </w:p>
    <w:p>
      <w:pPr>
        <w:pStyle w:val="Normal"/>
        <w:spacing w:lineRule="auto" w:line="360"/>
        <w:jc w:val="both"/>
        <w:rPr>
          <w:rFonts w:ascii="Tahoma" w:hAnsi="Tahoma" w:eastAsia="Tahoma" w:cs="Tahoma"/>
        </w:rPr>
      </w:pPr>
      <w:r>
        <w:rPr>
          <w:rFonts w:eastAsia="Century Gothic" w:cs="Century Gothic" w:ascii="Century Gothic" w:hAnsi="Century Gothic"/>
          <w:i/>
        </w:rPr>
        <w:t>Aiara, 2025eko maiatzaren 29a. -</w:t>
      </w:r>
      <w:r>
        <w:rPr/>
        <w:t xml:space="preserve"> </w:t>
      </w:r>
      <w:r>
        <w:rPr>
          <w:rFonts w:eastAsia="Tahoma" w:cs="Tahoma" w:ascii="Tahoma" w:hAnsi="Tahoma"/>
          <w:b/>
          <w:bCs/>
        </w:rPr>
        <w:t>EAJ-PNVk Aiarako Udalean duen udal-taldea</w:t>
      </w:r>
      <w:r>
        <w:rPr>
          <w:rFonts w:eastAsia="Tahoma" w:cs="Tahoma" w:ascii="Tahoma" w:hAnsi="Tahoma"/>
        </w:rPr>
        <w:t xml:space="preserve"> oso kezkatuta agertu da lidergo politikorik ez dagoelako eta EH-Bilduk osatutako gobernu-taldeak tokiko elkarteekiko duen sentsibilitate eskasa dela eta. Ekaina hastear dela, udalerriko erakundeek ez dute jaso 2024ko dirulaguntzen bigarren ordainketa.</w:t>
      </w:r>
    </w:p>
    <w:p>
      <w:pPr>
        <w:pStyle w:val="Normal"/>
        <w:spacing w:lineRule="auto" w:line="360"/>
        <w:jc w:val="both"/>
        <w:rPr>
          <w:rFonts w:ascii="Tahoma" w:hAnsi="Tahoma" w:eastAsia="Tahoma" w:cs="Tahoma"/>
        </w:rPr>
      </w:pPr>
      <w:r>
        <w:rPr>
          <w:rFonts w:eastAsia="Tahoma" w:cs="Tahoma" w:ascii="Tahoma" w:hAnsi="Tahoma"/>
        </w:rPr>
        <w:t xml:space="preserve">"Atzerapen hori justifikaezina da, elkarteek ezin dutelako funtzionatzen jarraitu Udalak bere konpromisoak betetzen ez baditu. Desantolaketaren eta lidergo politiko faltaren beste adibide bat da", deitoratu du </w:t>
      </w:r>
      <w:r>
        <w:rPr>
          <w:rFonts w:eastAsia="Tahoma" w:cs="Tahoma" w:ascii="Tahoma" w:hAnsi="Tahoma"/>
          <w:b/>
          <w:bCs/>
        </w:rPr>
        <w:t xml:space="preserve">Gentza Alamillo </w:t>
      </w:r>
      <w:r>
        <w:rPr>
          <w:rFonts w:eastAsia="Tahoma" w:cs="Tahoma" w:ascii="Tahoma" w:hAnsi="Tahoma"/>
        </w:rPr>
        <w:t>bozeramaile jeltzaleak.</w:t>
      </w:r>
    </w:p>
    <w:p>
      <w:pPr>
        <w:pStyle w:val="Normal"/>
        <w:spacing w:lineRule="auto" w:line="360"/>
        <w:jc w:val="both"/>
        <w:rPr>
          <w:rFonts w:ascii="Tahoma" w:hAnsi="Tahoma" w:eastAsia="Tahoma" w:cs="Tahoma"/>
        </w:rPr>
      </w:pPr>
      <w:r>
        <w:rPr>
          <w:rFonts w:eastAsia="Tahoma" w:cs="Tahoma" w:ascii="Tahoma" w:hAnsi="Tahoma"/>
        </w:rPr>
        <w:t>Izan ere, EAJ-PNVk gogorarazi du 2024an lehen ordainketa hilabeteko atzerapenarekin egin zela, urrian, eta orain, plangintzarik ezak kalte egiten diela udalerriko kultura-, gizarte- eta kirol-jardueraren zati handi bati eusten diotenei.</w:t>
      </w:r>
    </w:p>
    <w:p>
      <w:pPr>
        <w:pStyle w:val="Normal"/>
        <w:spacing w:lineRule="auto" w:line="360"/>
        <w:jc w:val="both"/>
        <w:rPr>
          <w:rFonts w:ascii="Tahoma" w:hAnsi="Tahoma" w:eastAsia="Tahoma" w:cs="Tahoma"/>
        </w:rPr>
      </w:pPr>
      <w:r>
        <w:rPr>
          <w:rFonts w:eastAsia="Tahoma" w:cs="Tahoma" w:ascii="Tahoma" w:hAnsi="Tahoma"/>
        </w:rPr>
        <w:t>"Aiarako elkarte-ehunarekiko gobernu-taldeak duen sentsibilitate eskasa kezkagarria da. Erakunde horiek bizitza komunitarioaren motorra dira, eta Udalaren aldetik tratu duina eta arduratsua merezi dute", azpimarratu du Alamillok.</w:t>
      </w:r>
    </w:p>
    <w:p>
      <w:pPr>
        <w:pStyle w:val="Normal"/>
        <w:spacing w:lineRule="auto" w:line="360"/>
        <w:jc w:val="both"/>
        <w:rPr>
          <w:rFonts w:ascii="Tahoma" w:hAnsi="Tahoma" w:eastAsia="Tahoma" w:cs="Tahoma"/>
        </w:rPr>
      </w:pPr>
      <w:r>
        <w:rPr>
          <w:rFonts w:eastAsia="Tahoma" w:cs="Tahoma" w:ascii="Tahoma" w:hAnsi="Tahoma"/>
        </w:rPr>
        <w:t>Horregatik guztiagatik, Euzko Alderdi Jeltzaleak eskatzen du bigarren ordainketa berehala egin dadila eta kudeaketa-mekanismo zorrotzagoak eta aurreikusgarriagoak ezar daitezela, egoera hori hurrengo urteetan errepikatuko ez dela bermatzeko.</w:t>
      </w:r>
    </w:p>
    <w:p>
      <w:pPr>
        <w:pStyle w:val="Normal"/>
        <w:spacing w:lineRule="auto" w:line="360" w:before="0" w:after="160"/>
        <w:jc w:val="both"/>
        <w:rPr>
          <w:rFonts w:ascii="Tahoma" w:hAnsi="Tahoma" w:eastAsia="Tahoma" w:cs="Tahoma"/>
          <w:b/>
          <w:bCs/>
        </w:rPr>
      </w:pPr>
      <w:r>
        <w:rPr>
          <w:rFonts w:eastAsia="Tahoma" w:cs="Tahoma" w:ascii="Tahoma" w:hAnsi="Tahoma"/>
          <w:b/>
          <w:bCs/>
        </w:rPr>
        <w:t>"Aiarak norabide argia behar du. Ezin da gobernatu plangintzarik eta erantzuteko gaitasunik gabe. Lidergo politiko falta nabaria da, eta ondorioak bizilagunek ordaintzen dituzte beti", bukatu du bozeramaile jeltzaleak.</w:t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276" w:right="991" w:gutter="0" w:header="709" w:top="1276" w:footer="708" w:bottom="765"/>
      <w:pgNumType w:start="1"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Liberation Sans">
    <w:altName w:val="Arial"/>
    <w:charset w:val="00"/>
    <w:family w:val="swiss"/>
    <w:pitch w:val="variable"/>
    <w:embedRegular r:id="rId19" w:fontKey="{13014A78-CABC-4EF0-12AC-5CD89AEFDE13}"/>
    <w:embedBold r:id="rId20" w:fontKey="{14014A78-CABC-4EF0-12AC-5CD89AEFDE14}"/>
    <w:embedItalic r:id="rId21" w:fontKey="{15014A78-CABC-4EF0-12AC-5CD89AEFDE15}"/>
    <w:embedBoldItalic r:id="rId22" w:fontKey="{16014A78-CABC-4EF0-12AC-5CD89AEFDE16}"/>
  </w:font>
  <w:font w:name="Georgia">
    <w:charset w:val="00"/>
    <w:family w:val="roman"/>
    <w:pitch w:val="variable"/>
    <w:embedRegular r:id="rId23" w:fontKey="{17014A78-CABC-4EF0-12AC-5CD89AEFDE17}"/>
    <w:embedBold r:id="rId24" w:fontKey="{18014A78-CABC-4EF0-12AC-5CD89AEFDE18}"/>
    <w:embedItalic r:id="rId25" w:fontKey="{19014A78-CABC-4EF0-12AC-5CD89AEFDE19}"/>
    <w:embedBoldItalic r:id="rId26" w:fontKey="{1A014A78-CABC-4EF0-12AC-5CD89AEFDE1A}"/>
  </w:font>
  <w:font w:name="Tahoma">
    <w:charset w:val="00"/>
    <w:family w:val="swiss"/>
    <w:pitch w:val="variable"/>
    <w:embedRegular r:id="rId27" w:fontKey="{1B014A78-CABC-4EF0-12AC-5CD89AEFDE1B}"/>
    <w:embedBold r:id="rId28" w:fontKey="{1C014A78-CABC-4EF0-12AC-5CD89AEFDE1C}"/>
  </w:font>
  <w:font w:name="Century Gothic">
    <w:charset w:val="00"/>
    <w:family w:val="swiss"/>
    <w:pitch w:val="variable"/>
    <w:embedRegular r:id="rId29" w:fontKey="{1D014A78-CABC-4EF0-12AC-5CD89AEFDE1D}"/>
    <w:embedBold r:id="rId30" w:fontKey="{1E014A78-CABC-4EF0-12AC-5CD89AEFDE1E}"/>
    <w:embedItalic r:id="rId30" w:fontKey="{1E014A78-CABC-4EF0-12AC-5CD89AEFDE1E}"/>
  </w:font>
  <w:font w:name="Tahoma">
    <w:charset w:val="01"/>
    <w:family w:val="swiss"/>
    <w:pitch w:val="variable"/>
    <w:embedRegular r:id="rId27" w:fontKey="{1B014A78-CABC-4EF0-12AC-5CD89AEFDE1B}"/>
    <w:embedBold r:id="rId28" w:fontKey="{1C014A78-CABC-4EF0-12AC-5CD89AEFDE1C}"/>
  </w:font>
  <w:font w:name="Courier New">
    <w:charset w:val="01"/>
    <w:family w:val="modern"/>
    <w:pitch w:val="fixed"/>
    <w:embedRegular r:id="rId31" w:fontKey="{1F014A78-CABC-4EF0-12AC-5CD89AEFDE1F}"/>
    <w:embedBold r:id="rId32" w:fontKey="{20014A78-CABC-4EF0-12AC-5CD89AEFDE20}"/>
    <w:embedItalic r:id="rId33" w:fontKey="{21014A78-CABC-4EF0-12AC-5CD89AEFDE21}"/>
    <w:embedBoldItalic r:id="rId34" w:fontKey="{22014A78-CABC-4EF0-12AC-5CD89AEFDE22}"/>
  </w:font>
  <w:font w:name="Wingdings">
    <w:charset w:val="02"/>
    <w:family w:val="auto"/>
    <w:pitch w:val="variable"/>
    <w:embedRegular r:id="rId35" w:fontKey="{23014A78-CABC-4EF0-12AC-5CD89AEFDE23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right"/>
      <w:rPr>
        <w:color w:val="000000"/>
        <w:sz w:val="20"/>
        <w:szCs w:val="20"/>
      </w:rPr>
    </w:pPr>
    <w:r>
      <w:rPr>
        <w:color w:val="000000"/>
        <w:sz w:val="20"/>
        <w:szCs w:val="20"/>
      </w:rPr>
      <w:t xml:space="preserve">Página </w:t>
    </w:r>
    <w:r>
      <w:rPr>
        <w:color w:val="000000"/>
      </w:rPr>
      <w:fldChar w:fldCharType="begin"/>
    </w:r>
    <w:r>
      <w:rPr>
        <w:color w:val="000000"/>
      </w:rPr>
      <w:instrText xml:space="preserve"> PAGE </w:instrText>
    </w:r>
    <w:r>
      <w:rPr>
        <w:color w:val="000000"/>
      </w:rPr>
      <w:fldChar w:fldCharType="separate"/>
    </w:r>
    <w:r>
      <w:rPr>
        <w:color w:val="000000"/>
      </w:rPr>
      <w:t>1</w:t>
    </w:r>
    <w:r>
      <w:rPr>
        <w:color w:val="000000"/>
      </w:rPr>
      <w:fldChar w:fldCharType="end"/>
    </w:r>
    <w:r>
      <w:rPr>
        <w:color w:val="000000"/>
        <w:sz w:val="20"/>
        <w:szCs w:val="20"/>
      </w:rPr>
      <w:t xml:space="preserve"> de </w:t>
    </w:r>
    <w:r>
      <w:rPr>
        <w:color w:val="000000"/>
      </w:rPr>
      <w:fldChar w:fldCharType="begin"/>
    </w:r>
    <w:r>
      <w:rPr>
        <w:color w:val="000000"/>
      </w:rPr>
      <w:instrText xml:space="preserve"> NUMPAGES </w:instrText>
    </w:r>
    <w:r>
      <w:rPr>
        <w:color w:val="000000"/>
      </w:rPr>
      <w:fldChar w:fldCharType="separate"/>
    </w:r>
    <w:r>
      <w:rPr>
        <w:color w:val="000000"/>
      </w:rPr>
      <w:t>1</w:t>
    </w:r>
    <w:r>
      <w:rPr>
        <w:color w:val="000000"/>
      </w:rPr>
      <w:fldChar w:fldCharType="end"/>
    </w:r>
  </w:p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rPr>
        <w:color w:val="000000"/>
      </w:rPr>
    </w:pPr>
    <w:r>
      <w:rPr>
        <w:color w:val="000000"/>
      </w:rPr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2780665</wp:posOffset>
          </wp:positionH>
          <wp:positionV relativeFrom="paragraph">
            <wp:posOffset>1270</wp:posOffset>
          </wp:positionV>
          <wp:extent cx="457200" cy="457200"/>
          <wp:effectExtent l="0" t="0" r="0" b="0"/>
          <wp:wrapSquare wrapText="bothSides"/>
          <wp:docPr id="5" name="image1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1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57200" cy="457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right"/>
      <w:rPr>
        <w:color w:val="000000"/>
        <w:sz w:val="20"/>
        <w:szCs w:val="20"/>
      </w:rPr>
    </w:pPr>
    <w:r>
      <w:rPr>
        <w:color w:val="000000"/>
        <w:sz w:val="20"/>
        <w:szCs w:val="20"/>
      </w:rPr>
      <w:t xml:space="preserve">Página </w:t>
    </w:r>
    <w:r>
      <w:rPr>
        <w:color w:val="000000"/>
      </w:rPr>
      <w:fldChar w:fldCharType="begin"/>
    </w:r>
    <w:r>
      <w:rPr>
        <w:color w:val="000000"/>
      </w:rPr>
      <w:instrText xml:space="preserve"> PAGE </w:instrText>
    </w:r>
    <w:r>
      <w:rPr>
        <w:color w:val="000000"/>
      </w:rPr>
      <w:fldChar w:fldCharType="separate"/>
    </w:r>
    <w:r>
      <w:rPr>
        <w:color w:val="000000"/>
      </w:rPr>
      <w:t>1</w:t>
    </w:r>
    <w:r>
      <w:rPr>
        <w:color w:val="000000"/>
      </w:rPr>
      <w:fldChar w:fldCharType="end"/>
    </w:r>
    <w:r>
      <w:rPr>
        <w:color w:val="000000"/>
        <w:sz w:val="20"/>
        <w:szCs w:val="20"/>
      </w:rPr>
      <w:t xml:space="preserve"> de </w:t>
    </w:r>
    <w:r>
      <w:rPr>
        <w:color w:val="000000"/>
      </w:rPr>
      <w:fldChar w:fldCharType="begin"/>
    </w:r>
    <w:r>
      <w:rPr>
        <w:color w:val="000000"/>
      </w:rPr>
      <w:instrText xml:space="preserve"> NUMPAGES </w:instrText>
    </w:r>
    <w:r>
      <w:rPr>
        <w:color w:val="000000"/>
      </w:rPr>
      <w:fldChar w:fldCharType="separate"/>
    </w:r>
    <w:r>
      <w:rPr>
        <w:color w:val="000000"/>
      </w:rPr>
      <w:t>1</w:t>
    </w:r>
    <w:r>
      <w:rPr>
        <w:color w:val="000000"/>
      </w:rPr>
      <w:fldChar w:fldCharType="end"/>
    </w:r>
  </w:p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rPr>
        <w:color w:val="000000"/>
      </w:rPr>
    </w:pPr>
    <w:r>
      <w:rPr>
        <w:color w:val="000000"/>
      </w:rPr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2780665</wp:posOffset>
          </wp:positionH>
          <wp:positionV relativeFrom="paragraph">
            <wp:posOffset>1270</wp:posOffset>
          </wp:positionV>
          <wp:extent cx="457200" cy="457200"/>
          <wp:effectExtent l="0" t="0" r="0" b="0"/>
          <wp:wrapSquare wrapText="bothSides"/>
          <wp:docPr id="6" name="image1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57200" cy="457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center"/>
      <w:rPr>
        <w:rFonts w:ascii="Tahoma" w:hAnsi="Tahoma" w:eastAsia="Tahoma" w:cs="Tahoma"/>
        <w:b/>
        <w:color w:val="000000"/>
      </w:rPr>
    </w:pPr>
    <w:r>
      <w:rPr>
        <w:rFonts w:eastAsia="Tahoma" w:cs="Tahoma" w:ascii="Tahoma" w:hAnsi="Tahoma"/>
        <w:b/>
        <w:color w:val="000000"/>
      </w:rP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2493645</wp:posOffset>
          </wp:positionH>
          <wp:positionV relativeFrom="paragraph">
            <wp:posOffset>-351155</wp:posOffset>
          </wp:positionV>
          <wp:extent cx="952500" cy="952500"/>
          <wp:effectExtent l="0" t="0" r="0" b="0"/>
          <wp:wrapSquare wrapText="bothSides"/>
          <wp:docPr id="1" name="image2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2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9525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mc:AlternateContent>
        <mc:Choice Requires="wps">
          <w:drawing>
            <wp:anchor behindDoc="1" distT="0" distB="9525" distL="1270" distR="9525" simplePos="0" locked="0" layoutInCell="0" allowOverlap="1" relativeHeight="4" wp14:anchorId="0AE6E393">
              <wp:simplePos x="0" y="0"/>
              <wp:positionH relativeFrom="page">
                <wp:posOffset>-2076450</wp:posOffset>
              </wp:positionH>
              <wp:positionV relativeFrom="paragraph">
                <wp:posOffset>4152265</wp:posOffset>
              </wp:positionV>
              <wp:extent cx="5173345" cy="561340"/>
              <wp:effectExtent l="0" t="0" r="0" b="0"/>
              <wp:wrapNone/>
              <wp:docPr id="2" name="Cuadro de tex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5173200" cy="5612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jc w:val="center"/>
                            <w:rPr/>
                          </w:pPr>
                          <w:r>
                            <w:rPr>
                              <w:rFonts w:cs="Tahoma" w:ascii="Tahoma" w:hAnsi="Tahoma"/>
                              <w:b/>
                              <w:color w:val="3E5F27"/>
                              <w:sz w:val="32"/>
                            </w:rPr>
                            <w:t>PRENTSA OHARRA – NOTA DE PRENSA</w:t>
                          </w:r>
                        </w:p>
                      </w:txbxContent>
                    </wps:txbx>
                    <wps:bodyPr anchor="t">
                      <a:prstTxWarp prst="textNoShape"/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uadro de texto 2" path="m0,0l-2147483645,0l-2147483645,-2147483646l0,-2147483646xe" fillcolor="white" stroked="f" o:allowincell="f" style="position:absolute;margin-left:-163.5pt;margin-top:326.9pt;width:407.3pt;height:44.15pt;mso-wrap-style:square;v-text-anchor:top;rotation:270;mso-position-horizontal-relative:page" wp14:anchorId="0AE6E393">
              <v:fill o:detectmouseclick="t" type="solid" color2="black"/>
              <v:stroke color="#3465a4" weight="6480" joinstyle="round" endcap="flat"/>
              <v:textbox>
                <w:txbxContent>
                  <w:p>
                    <w:pPr>
                      <w:pStyle w:val="Header"/>
                      <w:jc w:val="center"/>
                      <w:rPr/>
                    </w:pPr>
                    <w:r>
                      <w:rPr>
                        <w:rFonts w:cs="Tahoma" w:ascii="Tahoma" w:hAnsi="Tahoma"/>
                        <w:b/>
                        <w:color w:val="3E5F27"/>
                        <w:sz w:val="32"/>
                      </w:rPr>
                      <w:t>PRENTSA OHARRA – NOTA DE PRENSA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center"/>
      <w:rPr>
        <w:rFonts w:ascii="Tahoma" w:hAnsi="Tahoma" w:eastAsia="Tahoma" w:cs="Tahoma"/>
        <w:b/>
        <w:color w:val="000000"/>
      </w:rPr>
    </w:pPr>
    <w:r>
      <w:rPr>
        <w:rFonts w:eastAsia="Tahoma" w:cs="Tahoma" w:ascii="Tahoma" w:hAnsi="Tahoma"/>
        <w:b/>
        <w:color w:val="000000"/>
      </w:rP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2493645</wp:posOffset>
          </wp:positionH>
          <wp:positionV relativeFrom="paragraph">
            <wp:posOffset>-351155</wp:posOffset>
          </wp:positionV>
          <wp:extent cx="952500" cy="952500"/>
          <wp:effectExtent l="0" t="0" r="0" b="0"/>
          <wp:wrapSquare wrapText="bothSides"/>
          <wp:docPr id="3" name="image2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2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9525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mc:AlternateContent>
        <mc:Choice Requires="wps">
          <w:drawing>
            <wp:anchor behindDoc="1" distT="0" distB="9525" distL="1270" distR="9525" simplePos="0" locked="0" layoutInCell="0" allowOverlap="1" relativeHeight="4" wp14:anchorId="0AE6E393">
              <wp:simplePos x="0" y="0"/>
              <wp:positionH relativeFrom="page">
                <wp:posOffset>-2076450</wp:posOffset>
              </wp:positionH>
              <wp:positionV relativeFrom="paragraph">
                <wp:posOffset>4152265</wp:posOffset>
              </wp:positionV>
              <wp:extent cx="5173345" cy="561340"/>
              <wp:effectExtent l="0" t="0" r="0" b="0"/>
              <wp:wrapNone/>
              <wp:docPr id="4" name="Cuadro de tex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5173200" cy="5612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jc w:val="center"/>
                            <w:rPr/>
                          </w:pPr>
                          <w:r>
                            <w:rPr>
                              <w:rFonts w:cs="Tahoma" w:ascii="Tahoma" w:hAnsi="Tahoma"/>
                              <w:b/>
                              <w:color w:val="3E5F27"/>
                              <w:sz w:val="32"/>
                            </w:rPr>
                            <w:t>PRENTSA OHARRA – NOTA DE PRENSA</w:t>
                          </w:r>
                        </w:p>
                      </w:txbxContent>
                    </wps:txbx>
                    <wps:bodyPr anchor="t">
                      <a:prstTxWarp prst="textNoShape"/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uadro de texto 2" path="m0,0l-2147483645,0l-2147483645,-2147483646l0,-2147483646xe" fillcolor="white" stroked="f" o:allowincell="f" style="position:absolute;margin-left:-163.5pt;margin-top:326.9pt;width:407.3pt;height:44.15pt;mso-wrap-style:square;v-text-anchor:top;rotation:270;mso-position-horizontal-relative:page" wp14:anchorId="0AE6E393">
              <v:fill o:detectmouseclick="t" type="solid" color2="black"/>
              <v:stroke color="#3465a4" weight="6480" joinstyle="round" endcap="flat"/>
              <v:textbox>
                <w:txbxContent>
                  <w:p>
                    <w:pPr>
                      <w:pStyle w:val="Header"/>
                      <w:jc w:val="center"/>
                      <w:rPr/>
                    </w:pPr>
                    <w:r>
                      <w:rPr>
                        <w:rFonts w:cs="Tahoma" w:ascii="Tahoma" w:hAnsi="Tahoma"/>
                        <w:b/>
                        <w:color w:val="3E5F27"/>
                        <w:sz w:val="32"/>
                      </w:rPr>
                      <w:t>PRENTSA OHARRA – NOTA DE PRENSA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numFmt w:val="bullet"/>
      <w:lvlText w:val="•"/>
      <w:lvlJc w:val="left"/>
      <w:pPr>
        <w:tabs>
          <w:tab w:val="num" w:pos="0"/>
        </w:tabs>
        <w:ind w:left="720" w:hanging="360"/>
      </w:pPr>
      <w:rPr>
        <w:rFonts w:ascii="Tahoma" w:hAnsi="Tahoma" w:cs="Tahoma" w:hint="default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s-E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es-ES" w:eastAsia="es-E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26a9e"/>
    <w:pPr>
      <w:widowControl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es-ES" w:eastAsia="es-ES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link w:val="Ttulo2Car"/>
    <w:uiPriority w:val="9"/>
    <w:semiHidden/>
    <w:unhideWhenUsed/>
    <w:qFormat/>
    <w:rsid w:val="00843737"/>
    <w:pPr>
      <w:keepNext w:val="true"/>
      <w:keepLines/>
      <w:spacing w:before="40" w:after="0"/>
      <w:outlineLvl w:val="1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26"/>
      <w:szCs w:val="26"/>
    </w:rPr>
  </w:style>
  <w:style w:type="paragraph" w:styleId="Heading3">
    <w:name w:val="heading 3"/>
    <w:basedOn w:val="Normal"/>
    <w:next w:val="Normal"/>
    <w:link w:val="Ttulo3Car"/>
    <w:uiPriority w:val="9"/>
    <w:semiHidden/>
    <w:unhideWhenUsed/>
    <w:qFormat/>
    <w:rsid w:val="00db2bd2"/>
    <w:pPr>
      <w:keepNext w:val="true"/>
      <w:keepLines/>
      <w:spacing w:before="40" w:after="0"/>
      <w:outlineLvl w:val="2"/>
    </w:pPr>
    <w:rPr>
      <w:rFonts w:ascii="Calibri Light" w:hAnsi="Calibri Light" w:eastAsia="" w:cs="" w:asciiTheme="majorHAnsi" w:cstheme="majorBidi" w:eastAsiaTheme="majorEastAsia" w:hAnsiTheme="majorHAnsi"/>
      <w:color w:themeColor="accent1" w:themeShade="7f" w:val="1F3763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uiPriority w:val="99"/>
    <w:qFormat/>
    <w:rsid w:val="00bb00e0"/>
    <w:rPr/>
  </w:style>
  <w:style w:type="character" w:styleId="PiedepginaCar" w:customStyle="1">
    <w:name w:val="Pie de página Car"/>
    <w:basedOn w:val="DefaultParagraphFont"/>
    <w:uiPriority w:val="99"/>
    <w:qFormat/>
    <w:rsid w:val="00bb00e0"/>
    <w:rPr/>
  </w:style>
  <w:style w:type="character" w:styleId="Ttulo2Car" w:customStyle="1">
    <w:name w:val="Título 2 Car"/>
    <w:basedOn w:val="DefaultParagraphFont"/>
    <w:uiPriority w:val="9"/>
    <w:qFormat/>
    <w:rsid w:val="00843737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26"/>
      <w:szCs w:val="26"/>
    </w:rPr>
  </w:style>
  <w:style w:type="character" w:styleId="Ttulo3Car" w:customStyle="1">
    <w:name w:val="Título 3 Car"/>
    <w:basedOn w:val="DefaultParagraphFont"/>
    <w:uiPriority w:val="9"/>
    <w:semiHidden/>
    <w:qFormat/>
    <w:rsid w:val="00db2bd2"/>
    <w:rPr>
      <w:rFonts w:ascii="Calibri Light" w:hAnsi="Calibri Light" w:eastAsia="" w:cs="" w:asciiTheme="majorHAnsi" w:cstheme="majorBidi" w:eastAsiaTheme="majorEastAsia" w:hAnsiTheme="majorHAnsi"/>
      <w:color w:themeColor="accent1" w:themeShade="7f" w:val="1F3763"/>
      <w:sz w:val="24"/>
      <w:szCs w:val="24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Cabeceraypie">
    <w:name w:val="Cabecera y pie"/>
    <w:basedOn w:val="Normal"/>
    <w:qFormat/>
    <w:pPr/>
    <w:rPr/>
  </w:style>
  <w:style w:type="paragraph" w:styleId="Header">
    <w:name w:val="header"/>
    <w:basedOn w:val="Normal"/>
    <w:link w:val="EncabezadoCar"/>
    <w:uiPriority w:val="99"/>
    <w:unhideWhenUsed/>
    <w:rsid w:val="00bb00e0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PiedepginaCar"/>
    <w:uiPriority w:val="99"/>
    <w:unhideWhenUsed/>
    <w:rsid w:val="00bb00e0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NormalWeb">
    <w:name w:val="Normal (Web)"/>
    <w:basedOn w:val="Normal"/>
    <w:uiPriority w:val="99"/>
    <w:unhideWhenUsed/>
    <w:qFormat/>
    <w:rsid w:val="00bb00e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4436e"/>
    <w:pPr>
      <w:spacing w:lineRule="auto" w:line="276" w:before="0" w:after="200"/>
      <w:ind w:left="720"/>
      <w:contextualSpacing/>
    </w:pPr>
    <w:rPr/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ontenidodelmarco">
    <w:name w:val="Contenido del marco"/>
    <w:basedOn w:val="Normal"/>
    <w:qFormat/>
    <w:pPr/>
    <w:rPr/>
  </w:style>
  <w:style w:type="numbering" w:styleId="Ningunalista" w:default="1">
    <w:name w:val="Ninguna lista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numbering" Target="numbering.xml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jpe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jpe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jpe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jpeg"/>
</Relationships>
</file>

<file path=word/theme/theme1.xml><?xml version="1.0" encoding="utf-8"?>
<a:theme xmlns:a="http://schemas.openxmlformats.org/drawingml/2006/main" xmlns:r="http://schemas.openxmlformats.org/officeDocument/2006/relationships" name="Tema de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qzhiLwTyfhAfG+KGnuqY3KTNmMA==">CgMxLjA4AHIhMV93LWZKY0pNTWZmRS14dWF1RElrWDh3MXRhYS1Pd25C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Application>LibreOffice/25.2.2.2$Windows_X86_64 LibreOffice_project/7370d4be9e3cf6031a51beef54ff3bda878e3fac</Application>
  <AppVersion>15.0000</AppVersion>
  <Pages>1</Pages>
  <Words>233</Words>
  <Characters>1702</Characters>
  <CharactersWithSpaces>1923</CharactersWithSpaces>
  <Paragraphs>11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2025-03-05T15:23:00Z</dcterms:created>
  <dc:creator/>
  <dc:description/>
  <dc:language>es-ES</dc:language>
  <cp:lastModifiedBy/>
  <dcterms:modified xsi:type="dcterms:W3CDTF">2025-05-29T10:44:14Z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