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1.png" ContentType="image/png"/>
  <Override PartName="/word/media/image2.jpeg" ContentType="image/jpeg"/>
  <Override PartName="/word/header3.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fonts/font35.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xml.rels" ContentType="application/vnd.openxmlformats-package.relationships+xml"/>
  <Override PartName="/word/_rels/footer3.xml.rels" ContentType="application/vnd.openxmlformats-package.relationships+xml"/>
  <Override PartName="/word/_rels/header2.xml.rels" ContentType="application/vnd.openxmlformats-package.relationships+xml"/>
  <Override PartName="/word/_rels/footer2.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b/>
          <w:i/>
          <w:i/>
        </w:rPr>
      </w:pPr>
      <w:r>
        <w:rPr>
          <w:b/>
          <w:i/>
        </w:rPr>
      </w:r>
    </w:p>
    <w:p>
      <w:pPr>
        <w:pStyle w:val="Normal"/>
        <w:jc w:val="center"/>
        <w:rPr>
          <w:rFonts w:ascii="Tahoma" w:hAnsi="Tahoma" w:eastAsia="Tahoma" w:cs="Tahoma"/>
          <w:b/>
          <w:sz w:val="36"/>
          <w:szCs w:val="36"/>
        </w:rPr>
      </w:pPr>
      <w:r>
        <w:rPr>
          <w:rFonts w:eastAsia="Tahoma" w:cs="Tahoma" w:ascii="Tahoma" w:hAnsi="Tahoma"/>
          <w:b/>
          <w:sz w:val="36"/>
          <w:szCs w:val="36"/>
        </w:rPr>
        <w:t>EAJ-PNVk zalantzan jarri du EH-Bilduk Aiaran duen partaidetza-aurrekontuen eredua, oso gutxi gauzatzen delako eta parte hartzeko benetako bermerik ez dagoelako</w:t>
      </w:r>
    </w:p>
    <w:p>
      <w:pPr>
        <w:pStyle w:val="Normal"/>
        <w:jc w:val="center"/>
        <w:rPr>
          <w:lang w:val="es-ES"/>
        </w:rPr>
      </w:pPr>
      <w:r>
        <w:rPr>
          <w:lang w:val="es-ES"/>
        </w:rPr>
      </w:r>
    </w:p>
    <w:p>
      <w:pPr>
        <w:pStyle w:val="ListParagraph"/>
        <w:numPr>
          <w:ilvl w:val="0"/>
          <w:numId w:val="1"/>
        </w:numPr>
        <w:jc w:val="both"/>
        <w:rPr>
          <w:rFonts w:ascii="Tahoma" w:hAnsi="Tahoma" w:eastAsia="Tahoma" w:cs="Tahoma"/>
          <w:i/>
          <w:i/>
          <w:color w:val="000000"/>
          <w:sz w:val="28"/>
          <w:szCs w:val="28"/>
        </w:rPr>
      </w:pPr>
      <w:r>
        <w:rPr>
          <w:rFonts w:eastAsia="Tahoma" w:cs="Tahoma" w:ascii="Tahoma" w:hAnsi="Tahoma"/>
          <w:i/>
          <w:color w:val="000000"/>
          <w:sz w:val="28"/>
          <w:szCs w:val="28"/>
        </w:rPr>
        <w:t>Alderdi jeltzaleak salatu du 2025ean aurreikusitako 20.000 euroetatik 5.142,50 baino ez direla gauzatu (BEZ barne), eta 2026an sistema bera errepikatu nahi izatea kritikatu du</w:t>
      </w:r>
    </w:p>
    <w:p>
      <w:pPr>
        <w:pStyle w:val="Normal"/>
        <w:jc w:val="both"/>
        <w:rPr>
          <w:rFonts w:ascii="Tahoma" w:hAnsi="Tahoma" w:eastAsia="Times New Roman" w:cs="Tahoma"/>
          <w:sz w:val="24"/>
          <w:szCs w:val="24"/>
        </w:rPr>
      </w:pPr>
      <w:r>
        <w:rPr>
          <w:lang w:val="es-ES"/>
        </w:rPr>
        <w:br/>
      </w:r>
      <w:r>
        <w:rPr>
          <w:rFonts w:eastAsia="Century Gothic" w:cs="Century Gothic" w:ascii="Century Gothic" w:hAnsi="Century Gothic"/>
          <w:i/>
          <w:sz w:val="24"/>
          <w:szCs w:val="24"/>
        </w:rPr>
        <w:t>Aiara, 2025eko abenduaren 30a. –</w:t>
      </w:r>
      <w:r>
        <w:rPr>
          <w:lang w:val="es-ES"/>
        </w:rPr>
        <w:t xml:space="preserve"> </w:t>
      </w:r>
      <w:r>
        <w:rPr>
          <w:rFonts w:eastAsia="Times New Roman" w:cs="Tahoma" w:ascii="Tahoma" w:hAnsi="Tahoma"/>
          <w:sz w:val="24"/>
          <w:szCs w:val="24"/>
        </w:rPr>
        <w:t xml:space="preserve">Herritarren parte-hartzea funtsezko tresna da udalerrien bizitza demokratikoa indartzeko, erabaki publikoak hobeto hartzeko eta erakundeak bizilagunen errealitatera hurbiltzeko. Hala ere, erabilgarria eta sinesgarria izan dadin, prozesu zorrotzak, gardenak eta gauzatzeko benetako gaitasuna dutenak izan behar ditu oinarri. Premisa horretatik abiatuta, </w:t>
      </w:r>
      <w:r>
        <w:rPr>
          <w:rFonts w:eastAsia="Times New Roman" w:cs="Tahoma" w:ascii="Tahoma" w:hAnsi="Tahoma"/>
          <w:b/>
          <w:bCs/>
          <w:sz w:val="24"/>
          <w:szCs w:val="24"/>
        </w:rPr>
        <w:t>Aiarako Udaleko EAJ-PNV Udal Taldea</w:t>
      </w:r>
      <w:r>
        <w:rPr>
          <w:rFonts w:eastAsia="Times New Roman" w:cs="Tahoma" w:ascii="Tahoma" w:hAnsi="Tahoma"/>
          <w:sz w:val="24"/>
          <w:szCs w:val="24"/>
        </w:rPr>
        <w:t xml:space="preserve"> kezkatuta agertu da EH-Bilduk bultzatutako aurrekontu parte-hartzaileen ereduaren aurrean; izan ere, Gobernu Taldeak berriro jarri du martxan 2026ko udal kontuei begira, aldaketa nabarmenik egin gabe, nahiz eta aurten emaitza eskasak lortu dituen.</w:t>
      </w:r>
    </w:p>
    <w:p>
      <w:pPr>
        <w:pStyle w:val="Normal"/>
        <w:jc w:val="both"/>
        <w:rPr>
          <w:rFonts w:ascii="Tahoma" w:hAnsi="Tahoma" w:eastAsia="Times New Roman" w:cs="Tahoma"/>
          <w:sz w:val="24"/>
          <w:szCs w:val="24"/>
        </w:rPr>
      </w:pPr>
      <w:r>
        <w:rPr>
          <w:rFonts w:eastAsia="Times New Roman" w:cs="Tahoma" w:ascii="Tahoma" w:hAnsi="Tahoma"/>
          <w:sz w:val="24"/>
          <w:szCs w:val="24"/>
        </w:rPr>
        <w:t xml:space="preserve">Alderdi jeltzaleak gogorarazi du ekarpenak egin zizkiola 2025ean garatutako parte-hartze prozesuari, baina azpimarratu du datuek agerian uzten dutela haren porrota. "Aurten udalerrian parte-hartzea bultzatzeko gaitutako 20.000 euroko partida batetik 5.142,50 euro baino ez dira gauzatu, BEZa barne. Oso balantze pobrea da, eta ereduak funtzionatzen ez duela erakusten du", adierazi du </w:t>
      </w:r>
      <w:r>
        <w:rPr>
          <w:rFonts w:eastAsia="Times New Roman" w:cs="Tahoma" w:ascii="Tahoma" w:hAnsi="Tahoma"/>
          <w:b/>
          <w:bCs/>
          <w:sz w:val="24"/>
          <w:szCs w:val="24"/>
        </w:rPr>
        <w:t>Gentza Alamillo</w:t>
      </w:r>
      <w:r>
        <w:rPr>
          <w:rFonts w:eastAsia="Times New Roman" w:cs="Tahoma" w:ascii="Tahoma" w:hAnsi="Tahoma"/>
          <w:sz w:val="24"/>
          <w:szCs w:val="24"/>
        </w:rPr>
        <w:t xml:space="preserve"> EAJ-PNVko udal bozeramaileak.</w:t>
      </w:r>
    </w:p>
    <w:p>
      <w:pPr>
        <w:pStyle w:val="Normal"/>
        <w:jc w:val="both"/>
        <w:rPr>
          <w:rFonts w:ascii="Tahoma" w:hAnsi="Tahoma" w:eastAsia="Times New Roman" w:cs="Tahoma"/>
          <w:sz w:val="24"/>
          <w:szCs w:val="24"/>
        </w:rPr>
      </w:pPr>
      <w:r>
        <w:rPr>
          <w:rFonts w:eastAsia="Times New Roman" w:cs="Tahoma" w:ascii="Tahoma" w:hAnsi="Tahoma"/>
          <w:sz w:val="24"/>
          <w:szCs w:val="24"/>
        </w:rPr>
        <w:t>Hala eta guztiz ere, EH-Bilduk eskema bera errepikatzea proposatu du 2026an, 20.000 euroko partida berriro kontsignatuz eta partaidetza-sistema bera erabiliz. "Dagoeneko eraginkorra ez dela erakutsi duen eredu bat azpimarratu dute, autokritikarik egin gabe eta akatsak zuzendu gabe", kritikatu du Alamillok.</w:t>
      </w:r>
    </w:p>
    <w:p>
      <w:pPr>
        <w:pStyle w:val="Normal"/>
        <w:jc w:val="both"/>
        <w:rPr>
          <w:rFonts w:ascii="Tahoma" w:hAnsi="Tahoma" w:eastAsia="Times New Roman" w:cs="Tahoma"/>
          <w:b/>
          <w:bCs/>
          <w:sz w:val="24"/>
          <w:szCs w:val="24"/>
        </w:rPr>
      </w:pPr>
      <w:r>
        <w:rPr>
          <w:rFonts w:eastAsia="Times New Roman" w:cs="Tahoma" w:ascii="Tahoma" w:hAnsi="Tahoma"/>
          <w:b/>
          <w:bCs/>
          <w:sz w:val="24"/>
          <w:szCs w:val="24"/>
        </w:rPr>
      </w:r>
    </w:p>
    <w:p>
      <w:pPr>
        <w:pStyle w:val="Normal"/>
        <w:jc w:val="both"/>
        <w:rPr>
          <w:rFonts w:ascii="Tahoma" w:hAnsi="Tahoma" w:eastAsia="Times New Roman" w:cs="Tahoma"/>
          <w:b/>
          <w:bCs/>
          <w:sz w:val="24"/>
          <w:szCs w:val="24"/>
        </w:rPr>
      </w:pPr>
      <w:r>
        <w:rPr>
          <w:rFonts w:eastAsia="Times New Roman" w:cs="Tahoma" w:ascii="Tahoma" w:hAnsi="Tahoma"/>
          <w:b/>
          <w:bCs/>
          <w:sz w:val="24"/>
          <w:szCs w:val="24"/>
        </w:rPr>
        <w:t>Prozesu mugatua eta berme errealik gabea</w:t>
      </w:r>
    </w:p>
    <w:p>
      <w:pPr>
        <w:pStyle w:val="Normal"/>
        <w:jc w:val="both"/>
        <w:rPr>
          <w:rFonts w:ascii="Tahoma" w:hAnsi="Tahoma" w:eastAsia="Times New Roman" w:cs="Tahoma"/>
          <w:sz w:val="24"/>
          <w:szCs w:val="24"/>
        </w:rPr>
      </w:pPr>
      <w:r>
        <w:rPr>
          <w:rFonts w:eastAsia="Times New Roman" w:cs="Tahoma" w:ascii="Tahoma" w:hAnsi="Tahoma"/>
          <w:sz w:val="24"/>
          <w:szCs w:val="24"/>
        </w:rPr>
        <w:t>EAJ-PNVk, gainera, zalantzan jarri du prozesuaren zorroztasun falta. Inkestetan adierazten da parte hartzeko 16 urtetik gorakoa izan behar dela, Administrazio Batzarra aipatu behar dela eta Aiaran erroldatuta egon behar dela, baina "egia da ez dagoela egiaztapen-mekanismorik baldintza horiek betetzen direla bermatzeko", ohartarazi du bozeramaileak. "Horrek sinesgarritasuna kentzen dio prozesuari, eta zalantzan jartzen du Aiarako herritarren iritzia benetan islatzea", deitoratu du.</w:t>
      </w:r>
    </w:p>
    <w:p>
      <w:pPr>
        <w:pStyle w:val="Normal"/>
        <w:jc w:val="both"/>
        <w:rPr>
          <w:rFonts w:ascii="Tahoma" w:hAnsi="Tahoma" w:eastAsia="Times New Roman" w:cs="Tahoma"/>
          <w:sz w:val="24"/>
          <w:szCs w:val="24"/>
        </w:rPr>
      </w:pPr>
      <w:r>
        <w:rPr>
          <w:rFonts w:eastAsia="Times New Roman" w:cs="Tahoma" w:ascii="Tahoma" w:hAnsi="Tahoma"/>
          <w:sz w:val="24"/>
          <w:szCs w:val="24"/>
        </w:rPr>
      </w:r>
    </w:p>
    <w:p>
      <w:pPr>
        <w:pStyle w:val="Normal"/>
        <w:jc w:val="both"/>
        <w:rPr>
          <w:rFonts w:ascii="Tahoma" w:hAnsi="Tahoma" w:eastAsia="Times New Roman" w:cs="Tahoma"/>
          <w:sz w:val="24"/>
          <w:szCs w:val="24"/>
        </w:rPr>
      </w:pPr>
      <w:r>
        <w:rPr>
          <w:rFonts w:eastAsia="Times New Roman" w:cs="Tahoma" w:ascii="Tahoma" w:hAnsi="Tahoma"/>
          <w:sz w:val="24"/>
          <w:szCs w:val="24"/>
        </w:rPr>
      </w:r>
    </w:p>
    <w:p>
      <w:pPr>
        <w:pStyle w:val="Normal"/>
        <w:jc w:val="both"/>
        <w:rPr>
          <w:rFonts w:ascii="Tahoma" w:hAnsi="Tahoma" w:eastAsia="Times New Roman" w:cs="Tahoma"/>
          <w:sz w:val="24"/>
          <w:szCs w:val="24"/>
        </w:rPr>
      </w:pPr>
      <w:r>
        <w:rPr>
          <w:rFonts w:eastAsia="Times New Roman" w:cs="Tahoma" w:ascii="Tahoma" w:hAnsi="Tahoma"/>
          <w:sz w:val="24"/>
          <w:szCs w:val="24"/>
        </w:rPr>
      </w:r>
    </w:p>
    <w:p>
      <w:pPr>
        <w:pStyle w:val="Normal"/>
        <w:jc w:val="both"/>
        <w:rPr>
          <w:rFonts w:ascii="Tahoma" w:hAnsi="Tahoma" w:eastAsia="Times New Roman" w:cs="Tahoma"/>
          <w:sz w:val="24"/>
          <w:szCs w:val="24"/>
        </w:rPr>
      </w:pPr>
      <w:r>
        <w:rPr>
          <w:rFonts w:eastAsia="Times New Roman" w:cs="Tahoma" w:ascii="Tahoma" w:hAnsi="Tahoma"/>
          <w:sz w:val="24"/>
          <w:szCs w:val="24"/>
        </w:rPr>
        <w:br/>
        <w:t xml:space="preserve">Parte-hartzea, Udal Gobernuak planteatzen duen bezala, </w:t>
      </w:r>
      <w:r>
        <w:rPr>
          <w:rFonts w:eastAsia="Times New Roman" w:cs="Tahoma" w:ascii="Tahoma" w:hAnsi="Tahoma"/>
          <w:i/>
          <w:iCs/>
          <w:sz w:val="24"/>
          <w:szCs w:val="24"/>
        </w:rPr>
        <w:t>Google Forms</w:t>
      </w:r>
      <w:r>
        <w:rPr>
          <w:rFonts w:eastAsia="Times New Roman" w:cs="Tahoma" w:ascii="Tahoma" w:hAnsi="Tahoma"/>
          <w:sz w:val="24"/>
          <w:szCs w:val="24"/>
        </w:rPr>
        <w:t xml:space="preserve"> bidezko online inkesta batera mugatzen da, nahitaezko hainbat aukera itxirekin eta `proposamen eta ekarpen berrietarako</w:t>
      </w:r>
      <w:r>
        <w:rPr>
          <w:rFonts w:eastAsia="Times New Roman" w:cs="Tahoma" w:ascii="Tahoma" w:hAnsi="Tahoma"/>
          <w:i/>
          <w:iCs/>
          <w:sz w:val="24"/>
          <w:szCs w:val="24"/>
        </w:rPr>
        <w:t>´</w:t>
      </w:r>
      <w:r>
        <w:rPr>
          <w:rFonts w:eastAsia="Times New Roman" w:cs="Tahoma" w:ascii="Tahoma" w:hAnsi="Tahoma"/>
          <w:sz w:val="24"/>
          <w:szCs w:val="24"/>
        </w:rPr>
        <w:t xml:space="preserve"> azken atal batekin. "Hori ez da benetako parte-hartze prozesu bat. Kontsulta oso mugatua da, kontrasterik gabe, eztabaidarako tarterik gabe eta laguntza teknikorik gabe", adierazi du bozeramaile jeltzaleak.</w:t>
      </w:r>
    </w:p>
    <w:p>
      <w:pPr>
        <w:pStyle w:val="Normal"/>
        <w:jc w:val="both"/>
        <w:rPr>
          <w:rFonts w:ascii="Tahoma" w:hAnsi="Tahoma" w:eastAsia="Times New Roman" w:cs="Tahoma"/>
          <w:sz w:val="24"/>
          <w:szCs w:val="24"/>
        </w:rPr>
      </w:pPr>
      <w:r>
        <w:rPr>
          <w:rFonts w:eastAsia="Times New Roman" w:cs="Tahoma" w:ascii="Tahoma" w:hAnsi="Tahoma"/>
          <w:sz w:val="24"/>
          <w:szCs w:val="24"/>
        </w:rPr>
        <w:t>EAJ-PNVren ustez, denborak arrazoia ematen die hasieratik egindako ohartarazpenei. "Esan genuen sistema honek ez zuela funtzionatuko, ez zegoelako ondo diseinatuta edo pentsatuta exekutatzeko. Gertakariek hori berresten dute: aurrekontuaren zati txiki bat baino ez da gauzatu, eta, hala ere, 2026an berdin jarraitu nahi da", berretsi du.</w:t>
      </w:r>
    </w:p>
    <w:p>
      <w:pPr>
        <w:pStyle w:val="Normal"/>
        <w:jc w:val="both"/>
        <w:rPr>
          <w:rFonts w:ascii="Tahoma" w:hAnsi="Tahoma" w:eastAsia="Times New Roman" w:cs="Tahoma"/>
          <w:sz w:val="24"/>
          <w:szCs w:val="24"/>
        </w:rPr>
      </w:pPr>
      <w:r>
        <w:rPr>
          <w:rFonts w:eastAsia="Times New Roman" w:cs="Tahoma" w:ascii="Tahoma" w:hAnsi="Tahoma"/>
          <w:sz w:val="24"/>
          <w:szCs w:val="24"/>
        </w:rPr>
        <w:t>Alderdi jeltzaleak herritarren parte-hartze eredu erreal, erabilgarri eta gauzagarri baten aldeko apustua egin du, herritarren artean itxaropen faltsurik sortuko ez duena. "Ezin dira herritarrak proposamenak aurkeztera animatu, prozesuaren amaieran — baita behin betikoa aukeratzeko bigarren bozketa baten ondoren ere — asko arrazoi tekniko edo administratiboengatik bideraezinak direla egiaztatzeko", salatu du bozeramaileak.</w:t>
      </w:r>
    </w:p>
    <w:p>
      <w:pPr>
        <w:pStyle w:val="Normal"/>
        <w:jc w:val="both"/>
        <w:rPr>
          <w:rFonts w:ascii="Tahoma" w:hAnsi="Tahoma" w:eastAsia="Times New Roman" w:cs="Tahoma"/>
          <w:b/>
          <w:bCs/>
          <w:sz w:val="24"/>
          <w:szCs w:val="24"/>
        </w:rPr>
      </w:pPr>
      <w:r>
        <w:rPr>
          <w:rFonts w:eastAsia="Times New Roman" w:cs="Tahoma" w:ascii="Tahoma" w:hAnsi="Tahoma"/>
          <w:b/>
          <w:bCs/>
          <w:sz w:val="24"/>
          <w:szCs w:val="24"/>
        </w:rPr>
        <w:t>"Parte hartzea ez da formulario bat betetzea; parte hartzea da proiektu bideragarriei buruz erabaki ahal izatea, ondo landuta eta gauzatze-bermeekin", amaitu du Gentza Alamillok. "Aiarak parte-hartze prozesu serio, garden eta erabilgarriak behar ditu, ez online inkestak, espedientea betetzeko bakarrik balio dutenak", gaineratu du.</w:t>
      </w:r>
    </w:p>
    <w:p>
      <w:pPr>
        <w:pStyle w:val="Normal"/>
        <w:spacing w:before="0" w:after="160"/>
        <w:jc w:val="both"/>
        <w:rPr>
          <w:lang w:val="es-ES"/>
        </w:rPr>
      </w:pPr>
      <w:r>
        <w:rPr/>
      </w:r>
    </w:p>
    <w:sectPr>
      <w:headerReference w:type="even" r:id="rId2"/>
      <w:headerReference w:type="default" r:id="rId3"/>
      <w:headerReference w:type="first" r:id="rId4"/>
      <w:footerReference w:type="even" r:id="rId5"/>
      <w:footerReference w:type="default" r:id="rId6"/>
      <w:footerReference w:type="first" r:id="rId7"/>
      <w:type w:val="nextPage"/>
      <w:pgSz w:w="11906" w:h="16838"/>
      <w:pgMar w:left="1276" w:right="991" w:gutter="0" w:header="709" w:top="1276" w:footer="708" w:bottom="765"/>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libri Light">
    <w:charset w:val="00"/>
    <w:family w:val="swiss"/>
    <w:pitch w:val="variable"/>
    <w:embedRegular r:id="rId18" w:fontKey="{12014A78-CABC-4EF0-12AC-5CD89AEFDE12}"/>
  </w:font>
  <w:font w:name="Liberation Sans">
    <w:altName w:val="Arial"/>
    <w:charset w:val="00"/>
    <w:family w:val="swiss"/>
    <w:pitch w:val="variable"/>
    <w:embedRegular r:id="rId19" w:fontKey="{13014A78-CABC-4EF0-12AC-5CD89AEFDE13}"/>
    <w:embedBold r:id="rId20" w:fontKey="{14014A78-CABC-4EF0-12AC-5CD89AEFDE14}"/>
    <w:embedItalic r:id="rId21" w:fontKey="{15014A78-CABC-4EF0-12AC-5CD89AEFDE15}"/>
    <w:embedBoldItalic r:id="rId22" w:fontKey="{16014A78-CABC-4EF0-12AC-5CD89AEFDE16}"/>
  </w:font>
  <w:font w:name="Georgia">
    <w:charset w:val="00"/>
    <w:family w:val="roman"/>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Tahoma">
    <w:charset w:val="00"/>
    <w:family w:val="swiss"/>
    <w:pitch w:val="variable"/>
    <w:embedRegular r:id="rId27" w:fontKey="{1B014A78-CABC-4EF0-12AC-5CD89AEFDE1B}"/>
    <w:embedBold r:id="rId28" w:fontKey="{1C014A78-CABC-4EF0-12AC-5CD89AEFDE1C}"/>
  </w:font>
  <w:font w:name="Century Gothic">
    <w:charset w:val="00"/>
    <w:family w:val="swiss"/>
    <w:pitch w:val="variable"/>
    <w:embedRegular r:id="rId29" w:fontKey="{1D014A78-CABC-4EF0-12AC-5CD89AEFDE1D}"/>
    <w:embedBold r:id="rId30" w:fontKey="{1E014A78-CABC-4EF0-12AC-5CD89AEFDE1E}"/>
    <w:embedItalic r:id="rId30" w:fontKey="{1E014A78-CABC-4EF0-12AC-5CD89AEFDE1E}"/>
  </w:font>
  <w:font w:name="Courier New">
    <w:charset w:val="01"/>
    <w:family w:val="modern"/>
    <w:pitch w:val="fixed"/>
    <w:embedRegular r:id="rId31" w:fontKey="{1F014A78-CABC-4EF0-12AC-5CD89AEFDE1F}"/>
    <w:embedBold r:id="rId32" w:fontKey="{20014A78-CABC-4EF0-12AC-5CD89AEFDE20}"/>
    <w:embedItalic r:id="rId33" w:fontKey="{21014A78-CABC-4EF0-12AC-5CD89AEFDE21}"/>
    <w:embedBoldItalic r:id="rId34" w:fontKey="{22014A78-CABC-4EF0-12AC-5CD89AEFDE22}"/>
  </w:font>
  <w:font w:name="Wingdings">
    <w:charset w:val="02"/>
    <w:family w:val="auto"/>
    <w:pitch w:val="variable"/>
    <w:embedRegular r:id="rId35" w:fontKey="{23014A78-CABC-4EF0-12AC-5CD89AEFDE23}"/>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drawing>
        <wp:anchor behindDoc="1" distT="0" distB="0" distL="114300" distR="114300" simplePos="0" locked="0" layoutInCell="0" allowOverlap="1" relativeHeight="5">
          <wp:simplePos x="0" y="0"/>
          <wp:positionH relativeFrom="column">
            <wp:posOffset>2781300</wp:posOffset>
          </wp:positionH>
          <wp:positionV relativeFrom="paragraph">
            <wp:posOffset>171450</wp:posOffset>
          </wp:positionV>
          <wp:extent cx="457200" cy="457200"/>
          <wp:effectExtent l="0" t="0" r="0" b="0"/>
          <wp:wrapSquare wrapText="bothSides"/>
          <wp:docPr id="5"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2</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drawing>
        <wp:anchor behindDoc="1" distT="0" distB="0" distL="114300" distR="114300" simplePos="0" locked="0" layoutInCell="0" allowOverlap="1" relativeHeight="5">
          <wp:simplePos x="0" y="0"/>
          <wp:positionH relativeFrom="column">
            <wp:posOffset>2781300</wp:posOffset>
          </wp:positionH>
          <wp:positionV relativeFrom="paragraph">
            <wp:posOffset>171450</wp:posOffset>
          </wp:positionV>
          <wp:extent cx="457200" cy="457200"/>
          <wp:effectExtent l="0" t="0" r="0" b="0"/>
          <wp:wrapSquare wrapText="bothSides"/>
          <wp:docPr id="6"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2</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drawing>
        <wp:anchor behindDoc="1" distT="0" distB="0" distL="114300" distR="114300" simplePos="0" locked="0" layoutInCell="0" allowOverlap="1" relativeHeight="3">
          <wp:simplePos x="0" y="0"/>
          <wp:positionH relativeFrom="column">
            <wp:posOffset>2496185</wp:posOffset>
          </wp:positionH>
          <wp:positionV relativeFrom="paragraph">
            <wp:posOffset>-347980</wp:posOffset>
          </wp:positionV>
          <wp:extent cx="952500" cy="952500"/>
          <wp:effectExtent l="0" t="0" r="0" b="0"/>
          <wp:wrapSquare wrapText="bothSides"/>
          <wp:docPr id="1"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g" descr=""/>
                  <pic:cNvPicPr>
                    <a:picLocks noChangeAspect="1" noChangeArrowheads="1"/>
                  </pic:cNvPicPr>
                </pic:nvPicPr>
                <pic:blipFill>
                  <a:blip r:embed="rId1"/>
                  <a:stretch>
                    <a:fillRect/>
                  </a:stretch>
                </pic:blipFill>
                <pic:spPr bwMode="auto">
                  <a:xfrm>
                    <a:off x="0" y="0"/>
                    <a:ext cx="952500" cy="952500"/>
                  </a:xfrm>
                  <a:prstGeom prst="rect">
                    <a:avLst/>
                  </a:prstGeom>
                  <a:noFill/>
                </pic:spPr>
              </pic:pic>
            </a:graphicData>
          </a:graphic>
        </wp:anchor>
      </w:drawing>
      <mc:AlternateContent>
        <mc:Choice Requires="wps">
          <w:drawing>
            <wp:anchor behindDoc="1" distT="0" distB="9525" distL="1270" distR="9525" simplePos="0" locked="0" layoutInCell="0" allowOverlap="1" relativeHeight="8" wp14:anchorId="69707DF5">
              <wp:simplePos x="0" y="0"/>
              <wp:positionH relativeFrom="leftMargin">
                <wp:posOffset>-2065655</wp:posOffset>
              </wp:positionH>
              <wp:positionV relativeFrom="paragraph">
                <wp:posOffset>4494530</wp:posOffset>
              </wp:positionV>
              <wp:extent cx="5173345" cy="561340"/>
              <wp:effectExtent l="0" t="0" r="0" b="0"/>
              <wp:wrapNone/>
              <wp:docPr id="2" name="Cuadro de texto 2"/>
              <a:graphic xmlns:a="http://schemas.openxmlformats.org/drawingml/2006/main">
                <a:graphicData uri="http://schemas.microsoft.com/office/word/2010/wordprocessingShape">
                  <wps:wsp>
                    <wps:cNvSpPr/>
                    <wps:spPr>
                      <a:xfrm rot="16200000">
                        <a:off x="0" y="0"/>
                        <a:ext cx="5173200" cy="561240"/>
                      </a:xfrm>
                      <a:prstGeom prst="rect">
                        <a:avLst/>
                      </a:prstGeom>
                      <a:solidFill>
                        <a:schemeClr val="lt1"/>
                      </a:solidFill>
                      <a:ln w="6350">
                        <a:noFill/>
                      </a:ln>
                    </wps:spPr>
                    <wps:style>
                      <a:lnRef idx="0"/>
                      <a:fillRef idx="0"/>
                      <a:effectRef idx="0"/>
                      <a:fontRef idx="minor"/>
                    </wps:style>
                    <wps:txbx>
                      <w:txbxContent>
                        <w:p>
                          <w:pPr>
                            <w:pStyle w:val="Header"/>
                            <w:jc w:val="center"/>
                            <w:rPr/>
                          </w:pPr>
                          <w:r>
                            <w:rPr>
                              <w:rFonts w:cs="Tahoma" w:ascii="Tahoma" w:hAnsi="Tahoma"/>
                              <w:b/>
                              <w:color w:val="3E5F27"/>
                              <w:sz w:val="32"/>
                            </w:rPr>
                            <w:t>PRENTSA OHARRA – NOTA DE PRENSA</w:t>
                          </w:r>
                        </w:p>
                      </w:txbxContent>
                    </wps:txbx>
                    <wps:bodyPr anchor="t">
                      <a:prstTxWarp prst="textNoShape"/>
                      <a:noAutofit/>
                    </wps:bodyPr>
                  </wps:wsp>
                </a:graphicData>
              </a:graphic>
            </wp:anchor>
          </w:drawing>
        </mc:Choice>
        <mc:Fallback>
          <w:pict>
            <v:rect id="shape_0" ID="Cuadro de texto 2" path="m0,0l-2147483645,0l-2147483645,-2147483646l0,-2147483646xe" fillcolor="white" stroked="f" o:allowincell="f" style="position:absolute;margin-left:-162.65pt;margin-top:353.85pt;width:407.3pt;height:44.15pt;mso-wrap-style:square;v-text-anchor:top;rotation:270;mso-position-horizontal-relative:page" wp14:anchorId="69707DF5">
              <v:fill o:detectmouseclick="t" type="solid" color2="black"/>
              <v:stroke color="#3465a4" weight="6480" joinstyle="round" endcap="flat"/>
              <v:textbox>
                <w:txbxContent>
                  <w:p>
                    <w:pPr>
                      <w:pStyle w:val="Header"/>
                      <w:jc w:val="center"/>
                      <w:rPr/>
                    </w:pPr>
                    <w:r>
                      <w:rPr>
                        <w:rFonts w:cs="Tahoma" w:ascii="Tahoma" w:hAnsi="Tahoma"/>
                        <w:b/>
                        <w:color w:val="3E5F27"/>
                        <w:sz w:val="32"/>
                      </w:rPr>
                      <w:t>PRENTSA OHARRA – NOTA DE PRENSA</w:t>
                    </w:r>
                  </w:p>
                </w:txbxContent>
              </v:textbox>
              <w10:wrap type="none"/>
            </v:rect>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drawing>
        <wp:anchor behindDoc="1" distT="0" distB="0" distL="114300" distR="114300" simplePos="0" locked="0" layoutInCell="0" allowOverlap="1" relativeHeight="3">
          <wp:simplePos x="0" y="0"/>
          <wp:positionH relativeFrom="column">
            <wp:posOffset>2496185</wp:posOffset>
          </wp:positionH>
          <wp:positionV relativeFrom="paragraph">
            <wp:posOffset>-347980</wp:posOffset>
          </wp:positionV>
          <wp:extent cx="952500" cy="952500"/>
          <wp:effectExtent l="0" t="0" r="0" b="0"/>
          <wp:wrapSquare wrapText="bothSides"/>
          <wp:docPr id="3"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jpg" descr=""/>
                  <pic:cNvPicPr>
                    <a:picLocks noChangeAspect="1" noChangeArrowheads="1"/>
                  </pic:cNvPicPr>
                </pic:nvPicPr>
                <pic:blipFill>
                  <a:blip r:embed="rId1"/>
                  <a:stretch>
                    <a:fillRect/>
                  </a:stretch>
                </pic:blipFill>
                <pic:spPr bwMode="auto">
                  <a:xfrm>
                    <a:off x="0" y="0"/>
                    <a:ext cx="952500" cy="952500"/>
                  </a:xfrm>
                  <a:prstGeom prst="rect">
                    <a:avLst/>
                  </a:prstGeom>
                  <a:noFill/>
                </pic:spPr>
              </pic:pic>
            </a:graphicData>
          </a:graphic>
        </wp:anchor>
      </w:drawing>
      <mc:AlternateContent>
        <mc:Choice Requires="wps">
          <w:drawing>
            <wp:anchor behindDoc="1" distT="0" distB="9525" distL="1270" distR="9525" simplePos="0" locked="0" layoutInCell="0" allowOverlap="1" relativeHeight="8" wp14:anchorId="69707DF5">
              <wp:simplePos x="0" y="0"/>
              <wp:positionH relativeFrom="leftMargin">
                <wp:posOffset>-2065655</wp:posOffset>
              </wp:positionH>
              <wp:positionV relativeFrom="paragraph">
                <wp:posOffset>4494530</wp:posOffset>
              </wp:positionV>
              <wp:extent cx="5173345" cy="561340"/>
              <wp:effectExtent l="0" t="0" r="0" b="0"/>
              <wp:wrapNone/>
              <wp:docPr id="4" name="Cuadro de texto 2"/>
              <a:graphic xmlns:a="http://schemas.openxmlformats.org/drawingml/2006/main">
                <a:graphicData uri="http://schemas.microsoft.com/office/word/2010/wordprocessingShape">
                  <wps:wsp>
                    <wps:cNvSpPr/>
                    <wps:spPr>
                      <a:xfrm rot="16200000">
                        <a:off x="0" y="0"/>
                        <a:ext cx="5173200" cy="561240"/>
                      </a:xfrm>
                      <a:prstGeom prst="rect">
                        <a:avLst/>
                      </a:prstGeom>
                      <a:solidFill>
                        <a:schemeClr val="lt1"/>
                      </a:solidFill>
                      <a:ln w="6350">
                        <a:noFill/>
                      </a:ln>
                    </wps:spPr>
                    <wps:style>
                      <a:lnRef idx="0"/>
                      <a:fillRef idx="0"/>
                      <a:effectRef idx="0"/>
                      <a:fontRef idx="minor"/>
                    </wps:style>
                    <wps:txbx>
                      <w:txbxContent>
                        <w:p>
                          <w:pPr>
                            <w:pStyle w:val="Header"/>
                            <w:jc w:val="center"/>
                            <w:rPr/>
                          </w:pPr>
                          <w:r>
                            <w:rPr>
                              <w:rFonts w:cs="Tahoma" w:ascii="Tahoma" w:hAnsi="Tahoma"/>
                              <w:b/>
                              <w:color w:val="3E5F27"/>
                              <w:sz w:val="32"/>
                            </w:rPr>
                            <w:t>PRENTSA OHARRA – NOTA DE PRENSA</w:t>
                          </w:r>
                        </w:p>
                      </w:txbxContent>
                    </wps:txbx>
                    <wps:bodyPr anchor="t">
                      <a:prstTxWarp prst="textNoShape"/>
                      <a:noAutofit/>
                    </wps:bodyPr>
                  </wps:wsp>
                </a:graphicData>
              </a:graphic>
            </wp:anchor>
          </w:drawing>
        </mc:Choice>
        <mc:Fallback>
          <w:pict>
            <v:rect id="shape_0" ID="Cuadro de texto 2" path="m0,0l-2147483645,0l-2147483645,-2147483646l0,-2147483646xe" fillcolor="white" stroked="f" o:allowincell="f" style="position:absolute;margin-left:-162.65pt;margin-top:353.85pt;width:407.3pt;height:44.15pt;mso-wrap-style:square;v-text-anchor:top;rotation:270;mso-position-horizontal-relative:page" wp14:anchorId="69707DF5">
              <v:fill o:detectmouseclick="t" type="solid" color2="black"/>
              <v:stroke color="#3465a4" weight="6480" joinstyle="round" endcap="flat"/>
              <v:textbox>
                <w:txbxContent>
                  <w:p>
                    <w:pPr>
                      <w:pStyle w:val="Header"/>
                      <w:jc w:val="center"/>
                      <w:rPr/>
                    </w:pPr>
                    <w:r>
                      <w:rPr>
                        <w:rFonts w:cs="Tahoma" w:ascii="Tahoma" w:hAnsi="Tahoma"/>
                        <w:b/>
                        <w:color w:val="3E5F27"/>
                        <w:sz w:val="32"/>
                      </w:rPr>
                      <w:t>PRENTSA OHARRA – NOTA DE PRENSA</w:t>
                    </w:r>
                  </w:p>
                </w:txbxContent>
              </v:textbox>
              <w10:wrap type="none"/>
            </v:rect>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1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s-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es-ES" w:eastAsia="es-E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Calibri"/>
      <w:color w:val="auto"/>
      <w:kern w:val="0"/>
      <w:sz w:val="22"/>
      <w:szCs w:val="22"/>
      <w:lang w:val="es-ES" w:eastAsia="es-ES" w:bidi="ar-SA"/>
    </w:rPr>
  </w:style>
  <w:style w:type="paragraph" w:styleId="Heading1">
    <w:name w:val="heading 1"/>
    <w:basedOn w:val="Normal"/>
    <w:next w:val="Normal"/>
    <w:uiPriority w:val="9"/>
    <w:qFormat/>
    <w:pPr>
      <w:keepNext w:val="true"/>
      <w:keepLines/>
      <w:spacing w:before="480" w:after="120"/>
      <w:outlineLvl w:val="0"/>
    </w:pPr>
    <w:rPr>
      <w:b/>
      <w:sz w:val="48"/>
      <w:szCs w:val="48"/>
    </w:rPr>
  </w:style>
  <w:style w:type="paragraph" w:styleId="Heading2">
    <w:name w:val="heading 2"/>
    <w:basedOn w:val="Normal"/>
    <w:next w:val="Normal"/>
    <w:uiPriority w:val="9"/>
    <w:semiHidden/>
    <w:unhideWhenUsed/>
    <w:qFormat/>
    <w:pPr>
      <w:keepNext w:val="true"/>
      <w:keepLines/>
      <w:spacing w:before="40" w:after="0"/>
      <w:outlineLvl w:val="1"/>
    </w:pPr>
    <w:rPr>
      <w:color w:val="2F5496"/>
      <w:sz w:val="26"/>
      <w:szCs w:val="26"/>
    </w:rPr>
  </w:style>
  <w:style w:type="paragraph" w:styleId="Heading3">
    <w:name w:val="heading 3"/>
    <w:basedOn w:val="Normal"/>
    <w:next w:val="Normal"/>
    <w:uiPriority w:val="9"/>
    <w:semiHidden/>
    <w:unhideWhenUsed/>
    <w:qFormat/>
    <w:pPr>
      <w:keepNext w:val="true"/>
      <w:keepLines/>
      <w:spacing w:before="40" w:after="0"/>
      <w:outlineLvl w:val="2"/>
    </w:pPr>
    <w:rPr>
      <w:color w:val="1F3863"/>
      <w:sz w:val="24"/>
      <w:szCs w:val="24"/>
    </w:rPr>
  </w:style>
  <w:style w:type="paragraph" w:styleId="Heading4">
    <w:name w:val="heading 4"/>
    <w:basedOn w:val="Normal"/>
    <w:next w:val="Normal"/>
    <w:uiPriority w:val="9"/>
    <w:semiHidden/>
    <w:unhideWhenUsed/>
    <w:qFormat/>
    <w:pPr>
      <w:keepNext w:val="true"/>
      <w:keepLines/>
      <w:spacing w:before="240" w:after="40"/>
      <w:outlineLvl w:val="3"/>
    </w:pPr>
    <w:rPr>
      <w:b/>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unhideWhenUsed/>
    <w:qFormat/>
    <w:rPr/>
  </w:style>
  <w:style w:type="character" w:styleId="EncabezadoCar" w:customStyle="1">
    <w:name w:val="Encabezado Car"/>
    <w:basedOn w:val="DefaultParagraphFont"/>
    <w:uiPriority w:val="99"/>
    <w:qFormat/>
    <w:rsid w:val="00bb00e0"/>
    <w:rPr/>
  </w:style>
  <w:style w:type="character" w:styleId="PiedepginaCar" w:customStyle="1">
    <w:name w:val="Pie de página Car"/>
    <w:basedOn w:val="DefaultParagraphFont"/>
    <w:uiPriority w:val="99"/>
    <w:qFormat/>
    <w:rsid w:val="00bb00e0"/>
    <w:rPr/>
  </w:style>
  <w:style w:type="character" w:styleId="Ttulo2Car" w:customStyle="1">
    <w:name w:val="Título 2 Car"/>
    <w:basedOn w:val="DefaultParagraphFont"/>
    <w:uiPriority w:val="9"/>
    <w:qFormat/>
    <w:rsid w:val="00843737"/>
    <w:rPr>
      <w:rFonts w:ascii="Calibri Light" w:hAnsi="Calibri Light" w:eastAsia="" w:cs="" w:asciiTheme="majorHAnsi" w:cstheme="majorBidi" w:eastAsiaTheme="majorEastAsia" w:hAnsiTheme="majorHAnsi"/>
      <w:color w:themeColor="accent1" w:themeShade="bf" w:val="2F5496"/>
      <w:sz w:val="26"/>
      <w:szCs w:val="26"/>
    </w:rPr>
  </w:style>
  <w:style w:type="character" w:styleId="Ttulo3Car" w:customStyle="1">
    <w:name w:val="Título 3 Car"/>
    <w:basedOn w:val="DefaultParagraphFont"/>
    <w:uiPriority w:val="9"/>
    <w:semiHidden/>
    <w:qFormat/>
    <w:rsid w:val="00db2bd2"/>
    <w:rPr>
      <w:rFonts w:ascii="Calibri Light" w:hAnsi="Calibri Light" w:eastAsia="" w:cs="" w:asciiTheme="majorHAnsi" w:cstheme="majorBidi" w:eastAsiaTheme="majorEastAsia" w:hAnsiTheme="majorHAnsi"/>
      <w:color w:themeColor="accent1" w:themeShade="7f" w:val="1F3763"/>
      <w:sz w:val="24"/>
      <w:szCs w:val="24"/>
    </w:rPr>
  </w:style>
  <w:style w:type="character" w:styleId="Strong">
    <w:name w:val="Strong"/>
    <w:basedOn w:val="DefaultParagraphFont"/>
    <w:uiPriority w:val="22"/>
    <w:qFormat/>
    <w:rsid w:val="00ac02c6"/>
    <w:rPr>
      <w:b/>
      <w:bCs/>
    </w:rPr>
  </w:style>
  <w:style w:type="character" w:styleId="Emphasis">
    <w:name w:val="Emphasis"/>
    <w:basedOn w:val="DefaultParagraphFont"/>
    <w:uiPriority w:val="20"/>
    <w:qFormat/>
    <w:rsid w:val="00ac02c6"/>
    <w:rPr>
      <w:i/>
      <w:iCs/>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Title">
    <w:name w:val="Title"/>
    <w:basedOn w:val="Normal"/>
    <w:next w:val="Normal"/>
    <w:uiPriority w:val="10"/>
    <w:qFormat/>
    <w:pPr>
      <w:keepNext w:val="true"/>
      <w:keepLines/>
      <w:spacing w:before="480" w:after="120"/>
    </w:pPr>
    <w:rPr>
      <w:b/>
      <w:sz w:val="72"/>
      <w:szCs w:val="72"/>
    </w:rPr>
  </w:style>
  <w:style w:type="paragraph" w:styleId="Cabeceraypie">
    <w:name w:val="Cabecera y pie"/>
    <w:basedOn w:val="Normal"/>
    <w:qFormat/>
    <w:pPr/>
    <w:rPr/>
  </w:style>
  <w:style w:type="paragraph" w:styleId="Header">
    <w:name w:val="header"/>
    <w:basedOn w:val="Normal"/>
    <w:link w:val="EncabezadoCar"/>
    <w:uiPriority w:val="99"/>
    <w:unhideWhenUsed/>
    <w:rsid w:val="00bb00e0"/>
    <w:pPr>
      <w:tabs>
        <w:tab w:val="clear" w:pos="720"/>
        <w:tab w:val="center" w:pos="4252" w:leader="none"/>
        <w:tab w:val="right" w:pos="8504" w:leader="none"/>
      </w:tabs>
      <w:spacing w:lineRule="auto" w:line="240" w:before="0" w:after="0"/>
    </w:pPr>
    <w:rPr/>
  </w:style>
  <w:style w:type="paragraph" w:styleId="Footer">
    <w:name w:val="footer"/>
    <w:basedOn w:val="Normal"/>
    <w:link w:val="PiedepginaCar"/>
    <w:uiPriority w:val="99"/>
    <w:unhideWhenUsed/>
    <w:rsid w:val="00bb00e0"/>
    <w:pPr>
      <w:tabs>
        <w:tab w:val="clear" w:pos="720"/>
        <w:tab w:val="center" w:pos="4252" w:leader="none"/>
        <w:tab w:val="right" w:pos="8504" w:leader="none"/>
      </w:tabs>
      <w:spacing w:lineRule="auto" w:line="240" w:before="0" w:after="0"/>
    </w:pPr>
    <w:rPr/>
  </w:style>
  <w:style w:type="paragraph" w:styleId="NormalWeb">
    <w:name w:val="Normal (Web)"/>
    <w:basedOn w:val="Normal"/>
    <w:uiPriority w:val="99"/>
    <w:unhideWhenUsed/>
    <w:qFormat/>
    <w:rsid w:val="00bb00e0"/>
    <w:pPr>
      <w:spacing w:lineRule="auto" w:line="240" w:beforeAutospacing="1" w:afterAutospacing="1"/>
    </w:pPr>
    <w:rPr>
      <w:rFonts w:ascii="Times New Roman" w:hAnsi="Times New Roman" w:eastAsia="Times New Roman" w:cs="Times New Roman"/>
      <w:sz w:val="24"/>
      <w:szCs w:val="24"/>
    </w:rPr>
  </w:style>
  <w:style w:type="paragraph" w:styleId="ListParagraph">
    <w:name w:val="List Paragraph"/>
    <w:basedOn w:val="Normal"/>
    <w:uiPriority w:val="34"/>
    <w:qFormat/>
    <w:rsid w:val="00a4436e"/>
    <w:pPr>
      <w:spacing w:lineRule="auto" w:line="276" w:before="0" w:after="200"/>
      <w:ind w:left="720"/>
      <w:contextualSpacing/>
    </w:pPr>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Contenidodelmarco">
    <w:name w:val="Contenido del marco"/>
    <w:basedOn w:val="Normal"/>
    <w:qFormat/>
    <w:pPr/>
    <w:rPr/>
  </w:style>
  <w:style w:type="numbering" w:styleId="Ningunalista" w:default="1">
    <w:name w:val="Ninguna lista"/>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customStyle="1" w:styleId="TableNormal">
    <w:name w:val="TableNormal"/>
    <w:tblPr>
      <w:tblCellMar>
        <w:top w:w="100" w:type="dxa"/>
        <w:left w:w="100" w:type="dxa"/>
        <w:bottom w:w="100" w:type="dxa"/>
        <w:right w:w="100" w:type="dxa"/>
      </w:tblCellMar>
    </w:tblPr>
  </w:style>
  <w:style w:type="table" w:customStyle="1" w:styleId="TableNormal0">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numbering" Target="numbering.xml"/><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Relationship Id="rId12"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Relationship Id="rId35" Type="http://schemas.openxmlformats.org/officeDocument/2006/relationships/font" Target="fonts/font35.odttf"/>
</Relationships>
</file>

<file path=word/_rels/footer2.xml.rels><?xml version="1.0" encoding="UTF-8"?>
<Relationships xmlns="http://schemas.openxmlformats.org/package/2006/relationships"><Relationship Id="rId1" Type="http://schemas.openxmlformats.org/officeDocument/2006/relationships/image" Target="media/image2.jpeg"/>
</Relationships>
</file>

<file path=word/_rels/footer3.xml.rels><?xml version="1.0" encoding="UTF-8"?>
<Relationships xmlns="http://schemas.openxmlformats.org/package/2006/relationships"><Relationship Id="rId1" Type="http://schemas.openxmlformats.org/officeDocument/2006/relationships/image" Target="media/image2.jpeg"/>
</Relationships>
</file>

<file path=word/_rels/header2.xml.rels><?xml version="1.0" encoding="UTF-8"?>
<Relationships xmlns="http://schemas.openxmlformats.org/package/2006/relationships"><Relationship Id="rId1" Type="http://schemas.openxmlformats.org/officeDocument/2006/relationships/image" Target="media/image1.png"/>
</Relationships>
</file>

<file path=word/_rels/header3.xml.rels><?xml version="1.0" encoding="UTF-8"?>
<Relationships xmlns="http://schemas.openxmlformats.org/package/2006/relationships"><Relationship Id="rId1" Type="http://schemas.openxmlformats.org/officeDocument/2006/relationships/image" Target="media/image1.png"/>
</Relationships>
</file>

<file path=word/theme/theme1.xml><?xml version="1.0" encoding="utf-8"?>
<a:theme xmlns:a="http://schemas.openxmlformats.org/drawingml/2006/main" xmlns:r="http://schemas.openxmlformats.org/officeDocument/2006/relationships" name="Tema d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awhsiRyb2XXpDCboGOU4aYOwqLQ==">CgMxLjA4AHIhMWlVVzZYZmp2dTNyUG5qajNyYk81YlFUQmQxY18wV3hh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300</TotalTime>
  <Application>LibreOffice/25.2.7.2$Windows_X86_64 LibreOffice_project/5cbfd1ab6520636bb5f7b99185aa69bd7456825d</Application>
  <AppVersion>15.0000</AppVersion>
  <Pages>2</Pages>
  <Words>483</Words>
  <Characters>3327</Characters>
  <CharactersWithSpaces>3802</CharactersWithSpaces>
  <Paragraphs>13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2025-03-05T15:23:00Z</dcterms:created>
  <dc:creator/>
  <dc:description/>
  <dc:language>es-ES</dc:language>
  <cp:lastModifiedBy/>
  <dcterms:modified xsi:type="dcterms:W3CDTF">2025-12-30T22:32:44Z</dcterms:modified>
  <cp:revision>1</cp:revision>
  <dc:subject/>
  <dc:title/>
</cp:coreProperties>
</file>

<file path=docProps/custom.xml><?xml version="1.0" encoding="utf-8"?>
<Properties xmlns="http://schemas.openxmlformats.org/officeDocument/2006/custom-properties" xmlns:vt="http://schemas.openxmlformats.org/officeDocument/2006/docPropsVTypes"/>
</file>