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spacing w:before="240" w:after="0"/>
        <w:jc w:val="both"/>
        <w:rPr/>
      </w:pPr>
      <w:r>
        <w:rPr/>
      </w:r>
    </w:p>
    <w:p>
      <w:pPr>
        <w:pStyle w:val="Normal"/>
        <w:jc w:val="both"/>
        <w:rPr/>
      </w:pPr>
      <w:r>
        <w:rPr/>
      </w:r>
    </w:p>
    <w:p>
      <w:pPr>
        <w:pStyle w:val="Normal"/>
        <w:jc w:val="center"/>
        <w:rPr>
          <w:rFonts w:ascii="Tahoma" w:hAnsi="Tahoma" w:cs="Tahoma"/>
          <w:b/>
          <w:b/>
          <w:bCs/>
          <w:sz w:val="48"/>
          <w:szCs w:val="48"/>
        </w:rPr>
      </w:pPr>
      <w:r>
        <w:rPr>
          <w:rFonts w:cs="Tahoma" w:ascii="Tahoma" w:hAnsi="Tahoma"/>
          <w:b/>
          <w:bCs/>
          <w:sz w:val="48"/>
          <w:szCs w:val="48"/>
        </w:rPr>
        <w:t>EAJ-PNV Artziniegak gezurtatu egin ditu Santxotena Museoko jaiotza erakusketaren inguruko salaketak</w:t>
      </w:r>
    </w:p>
    <w:p>
      <w:pPr>
        <w:pStyle w:val="Normal"/>
        <w:jc w:val="center"/>
        <w:rPr/>
      </w:pPr>
      <w:r>
        <w:rPr/>
      </w:r>
    </w:p>
    <w:p>
      <w:pPr>
        <w:pStyle w:val="ListParagraph"/>
        <w:numPr>
          <w:ilvl w:val="0"/>
          <w:numId w:val="1"/>
        </w:numPr>
        <w:jc w:val="both"/>
        <w:rPr>
          <w:rFonts w:ascii="Tahoma" w:hAnsi="Tahoma" w:eastAsia="Calibri" w:cs="Tahoma"/>
          <w:bCs/>
          <w:i/>
          <w:i/>
          <w:sz w:val="28"/>
          <w:szCs w:val="28"/>
          <w:lang w:val="es-ES_tradnl"/>
        </w:rPr>
      </w:pPr>
      <w:r>
        <w:rPr>
          <w:rFonts w:eastAsia="Calibri" w:cs="Tahoma" w:ascii="Tahoma" w:hAnsi="Tahoma"/>
          <w:bCs/>
          <w:i/>
          <w:sz w:val="28"/>
          <w:szCs w:val="28"/>
          <w:lang w:val="es-ES_tradnl"/>
        </w:rPr>
        <w:t>Alderdi jeltzaleak beti baloratu eta babestu ditu udalerriari aberastasuna eta ikusgarritasuna ematen dioten kultur ekimenak, eta, aldi berean, azpimarratu du bere erabaki guztiak baliabide publikoen kudeaketa arduratsu eta gardenean oinarritzen direla</w:t>
      </w:r>
    </w:p>
    <w:p>
      <w:pPr>
        <w:pStyle w:val="Normal"/>
        <w:spacing w:lineRule="auto" w:line="360"/>
        <w:jc w:val="both"/>
        <w:rPr>
          <w:rFonts w:ascii="Tahoma" w:hAnsi="Tahoma" w:cs="Tahoma"/>
          <w:bCs/>
          <w:sz w:val="24"/>
          <w:szCs w:val="24"/>
        </w:rPr>
      </w:pPr>
      <w:r>
        <w:rPr/>
        <w:br/>
      </w:r>
      <w:r>
        <w:rPr>
          <w:rFonts w:cs="Tahoma" w:ascii="Century Gothic" w:hAnsi="Century Gothic"/>
          <w:bCs/>
          <w:i/>
          <w:iCs/>
          <w:sz w:val="24"/>
          <w:szCs w:val="24"/>
        </w:rPr>
        <w:t>Artziniega, 2024ko azaroaren 12a. -</w:t>
      </w:r>
      <w:r>
        <w:rPr/>
        <w:t xml:space="preserve"> </w:t>
      </w:r>
      <w:r>
        <w:rPr>
          <w:rFonts w:cs="Tahoma" w:ascii="Tahoma" w:hAnsi="Tahoma"/>
          <w:b/>
          <w:sz w:val="24"/>
          <w:szCs w:val="24"/>
        </w:rPr>
        <w:t>Teresa Lafragua, Santxotena Museoko jaiotza erakusketaren komisarioaren adierazpenen aurrean, EAJ-PNV Artziniegak egoera bere osotasunean ulertzeko funtsezkoak iruditzen zaizkion zenbait puntu argitu nahi ditu.</w:t>
      </w:r>
    </w:p>
    <w:p>
      <w:pPr>
        <w:pStyle w:val="Normal"/>
        <w:spacing w:lineRule="auto" w:line="360"/>
        <w:jc w:val="both"/>
        <w:rPr>
          <w:rFonts w:ascii="Tahoma" w:hAnsi="Tahoma" w:cs="Tahoma"/>
          <w:bCs/>
          <w:sz w:val="24"/>
          <w:szCs w:val="24"/>
        </w:rPr>
      </w:pPr>
      <w:r>
        <w:rPr>
          <w:rFonts w:cs="Tahoma" w:ascii="Tahoma" w:hAnsi="Tahoma"/>
          <w:bCs/>
          <w:sz w:val="24"/>
          <w:szCs w:val="24"/>
        </w:rPr>
        <w:t>Artziniegako alderdi jeltzaleak beti baloratu eta babestu ditu udalerriari aberastasuna eta ikusgarritasuna ematen dioten kultur ekimenak. Jaiotza erakusketa urte askoan zehar herriko kultur eskaintzaren pieza garrantzitsua izan da, eta damu da eskaintza hori gatazka puntu batera iritsi izana. Hala ere, argi utzi nahi da EAJ-PNVk talde politiko eta interes publikoaren ordezkari gisa hartzen dituen erabakiak baliabide publikoen kudeaketa arduratsu eta gardenean oinarritzen direla.</w:t>
      </w:r>
    </w:p>
    <w:p>
      <w:pPr>
        <w:pStyle w:val="Normal"/>
        <w:spacing w:lineRule="auto" w:line="360"/>
        <w:jc w:val="both"/>
        <w:rPr>
          <w:rFonts w:ascii="Tahoma" w:hAnsi="Tahoma" w:cs="Tahoma"/>
          <w:bCs/>
          <w:sz w:val="24"/>
          <w:szCs w:val="24"/>
        </w:rPr>
      </w:pPr>
      <w:r>
        <w:rPr>
          <w:rFonts w:cs="Tahoma" w:ascii="Tahoma" w:hAnsi="Tahoma"/>
          <w:bCs/>
          <w:sz w:val="24"/>
          <w:szCs w:val="24"/>
        </w:rPr>
        <w:t>Ildo horretan, erakunde pribatuekiko dirulaguntza eta hitzarmenei buruzko balorazioak eta erabakiak ez daude soilik EAJ-PNVren esku. Bada erantzukizun administratibo bat, funtsen erabilera egokia zaintzea eskatzen duena, eta hitzarmenaren ordainketarekin lotutako edozein desadostasun edo arazo, kasu honetan, Artziniegako Udalaren Kontu-hartzailetzaren kontu teknikoei eta fiskalizazioari erantzuten die.</w:t>
      </w:r>
    </w:p>
    <w:p>
      <w:pPr>
        <w:pStyle w:val="Normal"/>
        <w:spacing w:lineRule="auto" w:line="360"/>
        <w:jc w:val="both"/>
        <w:rPr>
          <w:rFonts w:ascii="Tahoma" w:hAnsi="Tahoma" w:cs="Tahoma"/>
          <w:bCs/>
          <w:sz w:val="24"/>
          <w:szCs w:val="24"/>
        </w:rPr>
      </w:pPr>
      <w:r>
        <w:rPr>
          <w:rFonts w:cs="Tahoma" w:ascii="Tahoma" w:hAnsi="Tahoma"/>
          <w:bCs/>
          <w:sz w:val="24"/>
          <w:szCs w:val="24"/>
        </w:rPr>
        <w:t>Udal kontu-hartzaileak indarrean dagoen araudiaren arabera jarduten du funts publikoak modu justu eta legalean administratzen direla ziurtatzeko. Kontrol horrek ez dio motibazio politiko edo pertsonalari erantzuten, baizik eta diru publikoa erabiltzean gardentasuna eta eraginkortasuna bermatzen duten prozedurak betetzeko beharrari.</w:t>
      </w:r>
    </w:p>
    <w:p>
      <w:pPr>
        <w:pStyle w:val="Normal"/>
        <w:spacing w:lineRule="auto" w:line="360"/>
        <w:jc w:val="both"/>
        <w:rPr>
          <w:rFonts w:ascii="Tahoma" w:hAnsi="Tahoma" w:cs="Tahoma"/>
          <w:bCs/>
          <w:sz w:val="24"/>
          <w:szCs w:val="24"/>
        </w:rPr>
      </w:pPr>
      <w:r>
        <w:rPr>
          <w:rFonts w:cs="Tahoma" w:ascii="Tahoma" w:hAnsi="Tahoma"/>
          <w:bCs/>
          <w:sz w:val="24"/>
          <w:szCs w:val="24"/>
        </w:rPr>
        <w:br/>
      </w:r>
    </w:p>
    <w:p>
      <w:pPr>
        <w:pStyle w:val="Normal"/>
        <w:spacing w:lineRule="auto" w:line="360"/>
        <w:jc w:val="both"/>
        <w:rPr>
          <w:rFonts w:ascii="Tahoma" w:hAnsi="Tahoma" w:cs="Tahoma"/>
          <w:bCs/>
          <w:sz w:val="24"/>
          <w:szCs w:val="24"/>
        </w:rPr>
      </w:pPr>
      <w:r>
        <w:rPr>
          <w:rFonts w:cs="Tahoma" w:ascii="Tahoma" w:hAnsi="Tahoma"/>
          <w:bCs/>
          <w:sz w:val="24"/>
          <w:szCs w:val="24"/>
        </w:rPr>
      </w:r>
    </w:p>
    <w:p>
      <w:pPr>
        <w:pStyle w:val="Normal"/>
        <w:spacing w:lineRule="auto" w:line="360"/>
        <w:jc w:val="both"/>
        <w:rPr>
          <w:rFonts w:ascii="Tahoma" w:hAnsi="Tahoma" w:cs="Tahoma"/>
          <w:bCs/>
          <w:sz w:val="24"/>
          <w:szCs w:val="24"/>
        </w:rPr>
      </w:pPr>
      <w:r>
        <w:rPr>
          <w:rFonts w:cs="Tahoma" w:ascii="Tahoma" w:hAnsi="Tahoma"/>
          <w:bCs/>
          <w:sz w:val="24"/>
          <w:szCs w:val="24"/>
        </w:rPr>
        <w:t>Gainera, EAJ-PNVk bere harridura eta erabateko gaitzespena adierazi nahi du Encina Castresana udal bozeramaileak museoak sare sozialetan egiten duen lanaren aurkako "gezur, jazarpen eta eraispen" kanpaina baten akusazioaren aurrean. Herritarren ordezkari eta Artziniegako oposizioko alderdi nagusia garen aldetik, EAJ-PNVren lana herritar guztien interesak defendatzea da, eta, ildo horretan, hitzarmen bakoitza ebaluatzen da guztion ongia lehenesteko helburuarekin. Hori dela eta, jeltzaleek berretsi dute udal-hitzarmenei buruzko edozein kritika edo balorazio esparru politikoan eta araudiak eta prozedurak errespetatuz adierazi dela, "jazarpentzat" jo daitezkeen balorazio pertsonaletan edo ekintzetan sartu gabe.</w:t>
      </w:r>
    </w:p>
    <w:p>
      <w:pPr>
        <w:pStyle w:val="Normal"/>
        <w:spacing w:lineRule="auto" w:line="360"/>
        <w:jc w:val="both"/>
        <w:rPr>
          <w:rFonts w:ascii="Tahoma" w:hAnsi="Tahoma" w:cs="Tahoma"/>
          <w:b/>
          <w:b/>
          <w:sz w:val="24"/>
          <w:szCs w:val="24"/>
        </w:rPr>
      </w:pPr>
      <w:r>
        <w:rPr>
          <w:rFonts w:cs="Tahoma" w:ascii="Tahoma" w:hAnsi="Tahoma"/>
          <w:b/>
          <w:sz w:val="24"/>
          <w:szCs w:val="24"/>
        </w:rPr>
        <w:br/>
        <w:t>EAJ-PNV Artziniegak irmo sinesten du elkarrizketak eta errespetuak udalerriko kultur eragile guztiekin duten garrantzian. Horregatik, alde guztiei dei egiten zaie elkarrizketei berriro ekiteko eta desadostasunak modu eraikitzailean konpontzeko, herriaren eta haren garapen kulturalaren mesedetan.</w:t>
      </w:r>
    </w:p>
    <w:p>
      <w:pPr>
        <w:pStyle w:val="Normal"/>
        <w:spacing w:lineRule="auto" w:line="276"/>
        <w:jc w:val="both"/>
        <w:rPr>
          <w:rFonts w:ascii="Tahoma" w:hAnsi="Tahoma" w:cs="Tahoma"/>
          <w:b/>
          <w:b/>
          <w:sz w:val="24"/>
          <w:szCs w:val="24"/>
        </w:rPr>
      </w:pPr>
      <w:r>
        <w:rPr>
          <w:rFonts w:cs="Tahoma" w:ascii="Tahoma" w:hAnsi="Tahoma"/>
          <w:b/>
          <w:sz w:val="24"/>
          <w:szCs w:val="24"/>
        </w:rPr>
      </w:r>
    </w:p>
    <w:p>
      <w:pPr>
        <w:pStyle w:val="Normal"/>
        <w:spacing w:lineRule="auto" w:line="276"/>
        <w:jc w:val="both"/>
        <w:rPr>
          <w:rFonts w:ascii="Tahoma" w:hAnsi="Tahoma" w:cs="Tahoma"/>
          <w:b/>
          <w:b/>
          <w:sz w:val="24"/>
          <w:szCs w:val="24"/>
        </w:rPr>
      </w:pPr>
      <w:r>
        <w:rPr>
          <w:rFonts w:cs="Tahoma" w:ascii="Tahoma" w:hAnsi="Tahoma"/>
          <w:b/>
          <w:sz w:val="24"/>
          <w:szCs w:val="24"/>
        </w:rPr>
      </w:r>
    </w:p>
    <w:p>
      <w:pPr>
        <w:pStyle w:val="Normal"/>
        <w:spacing w:lineRule="auto" w:line="276"/>
        <w:jc w:val="both"/>
        <w:rPr>
          <w:rFonts w:ascii="Tahoma" w:hAnsi="Tahoma" w:cs="Tahoma"/>
          <w:b/>
          <w:b/>
          <w:sz w:val="24"/>
          <w:szCs w:val="24"/>
        </w:rPr>
      </w:pPr>
      <w:r>
        <w:rPr>
          <w:rFonts w:cs="Tahoma" w:ascii="Tahoma" w:hAnsi="Tahoma"/>
          <w:b/>
          <w:sz w:val="24"/>
          <w:szCs w:val="24"/>
        </w:rPr>
      </w:r>
    </w:p>
    <w:p>
      <w:pPr>
        <w:pStyle w:val="Normal"/>
        <w:spacing w:lineRule="auto" w:line="276"/>
        <w:jc w:val="both"/>
        <w:rPr>
          <w:rFonts w:ascii="Tahoma" w:hAnsi="Tahoma" w:cs="Tahoma"/>
          <w:b/>
          <w:b/>
          <w:sz w:val="24"/>
          <w:szCs w:val="24"/>
        </w:rPr>
      </w:pPr>
      <w:r>
        <w:rPr>
          <w:rFonts w:cs="Tahoma" w:ascii="Tahoma" w:hAnsi="Tahoma"/>
          <w:b/>
          <w:sz w:val="24"/>
          <w:szCs w:val="24"/>
        </w:rPr>
      </w:r>
    </w:p>
    <w:p>
      <w:pPr>
        <w:pStyle w:val="Normal"/>
        <w:spacing w:lineRule="auto" w:line="276"/>
        <w:jc w:val="both"/>
        <w:rPr>
          <w:rFonts w:ascii="Tahoma" w:hAnsi="Tahoma" w:cs="Tahoma"/>
          <w:b/>
          <w:b/>
          <w:sz w:val="24"/>
          <w:szCs w:val="24"/>
        </w:rPr>
      </w:pPr>
      <w:r>
        <w:rPr>
          <w:rFonts w:cs="Tahoma" w:ascii="Tahoma" w:hAnsi="Tahoma"/>
          <w:b/>
          <w:sz w:val="24"/>
          <w:szCs w:val="24"/>
        </w:rPr>
      </w:r>
    </w:p>
    <w:p>
      <w:pPr>
        <w:pStyle w:val="Normal"/>
        <w:spacing w:lineRule="auto" w:line="276" w:before="0" w:after="160"/>
        <w:jc w:val="both"/>
        <w:rPr>
          <w:rFonts w:ascii="Tahoma" w:hAnsi="Tahoma" w:cs="Tahoma"/>
          <w:b/>
          <w:b/>
          <w:sz w:val="24"/>
          <w:szCs w:val="24"/>
        </w:rPr>
      </w:pPr>
      <w:r>
        <w:rPr/>
      </w:r>
    </w:p>
    <w:sectPr>
      <w:headerReference w:type="default" r:id="rId2"/>
      <w:footerReference w:type="default" r:id="rId3"/>
      <w:type w:val="nextPage"/>
      <w:pgSz w:w="11906" w:h="16838"/>
      <w:pgMar w:left="1418" w:right="1133" w:gutter="0" w:header="709" w:top="1135" w:footer="708"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Tahoma">
    <w:charset w:val="00"/>
    <w:family w:val="roman"/>
    <w:pitch w:val="variable"/>
  </w:font>
  <w:font w:name="Century Goth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1112069"/>
    </w:sdtPr>
    <w:sdtContent>
      <w:p>
        <w:pPr>
          <w:pStyle w:val="Piedepgina"/>
          <w:jc w:val="right"/>
          <w:rPr>
            <w:sz w:val="20"/>
          </w:rPr>
        </w:pPr>
        <w:r>
          <w:rPr>
            <w:sz w:val="20"/>
          </w:rPr>
          <w:t xml:space="preserve">Página </w:t>
        </w:r>
        <w:r>
          <w:rPr>
            <w:bCs/>
            <w:szCs w:val="24"/>
          </w:rPr>
          <w:fldChar w:fldCharType="begin"/>
        </w:r>
        <w:r>
          <w:rPr>
            <w:szCs w:val="24"/>
            <w:bCs/>
          </w:rPr>
          <w:instrText xml:space="preserve"> PAGE </w:instrText>
        </w:r>
        <w:r>
          <w:rPr>
            <w:szCs w:val="24"/>
            <w:bCs/>
          </w:rPr>
          <w:fldChar w:fldCharType="separate"/>
        </w:r>
        <w:r>
          <w:rPr>
            <w:szCs w:val="24"/>
            <w:bCs/>
          </w:rPr>
          <w:t>1</w:t>
        </w:r>
        <w:r>
          <w:rPr>
            <w:szCs w:val="24"/>
            <w:bCs/>
          </w:rPr>
          <w:fldChar w:fldCharType="end"/>
        </w:r>
        <w:r>
          <w:rPr>
            <w:sz w:val="20"/>
          </w:rPr>
          <w:t xml:space="preserve"> de </w:t>
        </w:r>
        <w:r>
          <w:rPr>
            <w:bCs/>
            <w:szCs w:val="24"/>
          </w:rPr>
          <w:fldChar w:fldCharType="begin"/>
        </w:r>
        <w:r>
          <w:rPr>
            <w:szCs w:val="24"/>
            <w:bCs/>
          </w:rPr>
          <w:instrText xml:space="preserve"> NUMPAGES </w:instrText>
        </w:r>
        <w:r>
          <w:rPr>
            <w:szCs w:val="24"/>
            <w:bCs/>
          </w:rPr>
          <w:fldChar w:fldCharType="separate"/>
        </w:r>
        <w:r>
          <w:rPr>
            <w:szCs w:val="24"/>
            <w:bCs/>
          </w:rPr>
          <w:t>2</w:t>
        </w:r>
        <w:r>
          <w:rPr>
            <w:szCs w:val="24"/>
            <w:bCs/>
          </w:rPr>
          <w:fldChar w:fldCharType="end"/>
        </w:r>
      </w:p>
    </w:sdtContent>
  </w:sdt>
  <w:p>
    <w:pPr>
      <w:pStyle w:val="Piedepgina"/>
      <w:rPr/>
    </w:pPr>
    <w:r>
      <w:rPr/>
      <w:drawing>
        <wp:anchor behindDoc="1" distT="0" distB="0" distL="114300" distR="114300" simplePos="0" locked="0" layoutInCell="0" allowOverlap="1" relativeHeight="9">
          <wp:simplePos x="0" y="0"/>
          <wp:positionH relativeFrom="page">
            <wp:posOffset>3590925</wp:posOffset>
          </wp:positionH>
          <wp:positionV relativeFrom="paragraph">
            <wp:posOffset>1270</wp:posOffset>
          </wp:positionV>
          <wp:extent cx="457200" cy="457200"/>
          <wp:effectExtent l="0" t="0" r="0" b="0"/>
          <wp:wrapSquare wrapText="bothSides"/>
          <wp:docPr id="4" name="Imagen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7" descr=""/>
                  <pic:cNvPicPr>
                    <a:picLocks noChangeAspect="1" noChangeArrowheads="1"/>
                  </pic:cNvPicPr>
                </pic:nvPicPr>
                <pic:blipFill>
                  <a:blip r:embed="rId1"/>
                  <a:stretch>
                    <a:fillRect/>
                  </a:stretch>
                </pic:blipFill>
                <pic:spPr bwMode="auto">
                  <a:xfrm>
                    <a:off x="0" y="0"/>
                    <a:ext cx="457200" cy="45720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jc w:val="center"/>
      <w:rPr>
        <w:rFonts w:ascii="Tahoma" w:hAnsi="Tahoma" w:cs="Tahoma"/>
        <w:b/>
        <w:b/>
      </w:rPr>
    </w:pPr>
    <w:r>
      <w:rPr>
        <w:rFonts w:cs="Tahoma" w:ascii="Tahoma" w:hAnsi="Tahoma"/>
        <w:b/>
      </w:rPr>
      <w:drawing>
        <wp:anchor behindDoc="1" distT="0" distB="0" distL="114300" distR="114300" simplePos="0" locked="0" layoutInCell="0" allowOverlap="1" relativeHeight="3">
          <wp:simplePos x="0" y="0"/>
          <wp:positionH relativeFrom="page">
            <wp:align>center</wp:align>
          </wp:positionH>
          <wp:positionV relativeFrom="paragraph">
            <wp:posOffset>-288290</wp:posOffset>
          </wp:positionV>
          <wp:extent cx="1314450" cy="907415"/>
          <wp:effectExtent l="0" t="0" r="0" b="0"/>
          <wp:wrapSquare wrapText="bothSides"/>
          <wp:docPr id="1" name="Imagen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6" descr=""/>
                  <pic:cNvPicPr>
                    <a:picLocks noChangeAspect="1" noChangeArrowheads="1"/>
                  </pic:cNvPicPr>
                </pic:nvPicPr>
                <pic:blipFill>
                  <a:blip r:embed="rId1"/>
                  <a:srcRect l="0" t="13815" r="0" b="17105"/>
                  <a:stretch>
                    <a:fillRect/>
                  </a:stretch>
                </pic:blipFill>
                <pic:spPr bwMode="auto">
                  <a:xfrm>
                    <a:off x="0" y="0"/>
                    <a:ext cx="1314450" cy="907415"/>
                  </a:xfrm>
                  <a:prstGeom prst="rect">
                    <a:avLst/>
                  </a:prstGeom>
                </pic:spPr>
              </pic:pic>
            </a:graphicData>
          </a:graphic>
        </wp:anchor>
      </w:drawing>
      <mc:AlternateContent>
        <mc:Choice Requires="wps">
          <w:drawing>
            <wp:anchor behindDoc="1" distT="0" distB="9525" distL="1270" distR="9525" simplePos="0" locked="0" layoutInCell="0" allowOverlap="1" relativeHeight="6" wp14:anchorId="53BBB3C4">
              <wp:simplePos x="0" y="0"/>
              <wp:positionH relativeFrom="column">
                <wp:posOffset>-2902585</wp:posOffset>
              </wp:positionH>
              <wp:positionV relativeFrom="paragraph">
                <wp:posOffset>4170045</wp:posOffset>
              </wp:positionV>
              <wp:extent cx="5173345" cy="561340"/>
              <wp:effectExtent l="0" t="0" r="0" b="0"/>
              <wp:wrapNone/>
              <wp:docPr id="2" name="Cuadro de texto 2"/>
              <a:graphic xmlns:a="http://schemas.openxmlformats.org/drawingml/2006/main">
                <a:graphicData uri="http://schemas.microsoft.com/office/word/2010/wordprocessingShape">
                  <wps:wsp>
                    <wps:cNvSpPr/>
                    <wps:spPr>
                      <a:xfrm rot="16200000">
                        <a:off x="0" y="0"/>
                        <a:ext cx="5173200" cy="561240"/>
                      </a:xfrm>
                      <a:prstGeom prst="rect">
                        <a:avLst/>
                      </a:prstGeom>
                      <a:solidFill>
                        <a:schemeClr val="lt1"/>
                      </a:solidFill>
                      <a:ln w="6350">
                        <a:noFill/>
                      </a:ln>
                    </wps:spPr>
                    <wps:style>
                      <a:lnRef idx="0"/>
                      <a:fillRef idx="0"/>
                      <a:effectRef idx="0"/>
                      <a:fontRef idx="minor"/>
                    </wps:style>
                    <wps:txbx>
                      <w:txbxContent>
                        <w:p>
                          <w:pPr>
                            <w:pStyle w:val="Cabecera"/>
                            <w:jc w:val="center"/>
                            <w:rPr>
                              <w:rFonts w:ascii="Tahoma" w:hAnsi="Tahoma" w:cs="Tahoma"/>
                              <w:b/>
                              <w:b/>
                              <w:color w:val="3E5F27"/>
                              <w:sz w:val="32"/>
                            </w:rPr>
                          </w:pPr>
                          <w:r>
                            <w:rPr>
                              <w:rFonts w:cs="Tahoma" w:ascii="Tahoma" w:hAnsi="Tahoma"/>
                              <w:b/>
                              <w:color w:val="3E5F27"/>
                              <w:sz w:val="32"/>
                            </w:rPr>
                            <w:t>PRENTSA OHARRA – NOTA DE PRENSA</w:t>
                          </w:r>
                        </w:p>
                        <w:p>
                          <w:pPr>
                            <w:pStyle w:val="Contenidodelmarco"/>
                            <w:spacing w:before="0" w:after="160"/>
                            <w:rPr/>
                          </w:pPr>
                          <w:r>
                            <w:rPr/>
                          </w:r>
                        </w:p>
                      </w:txbxContent>
                    </wps:txbx>
                    <wps:bodyPr anchor="t">
                      <a:prstTxWarp prst="textNoShape"/>
                      <a:noAutofit/>
                    </wps:bodyPr>
                  </wps:wsp>
                </a:graphicData>
              </a:graphic>
            </wp:anchor>
          </w:drawing>
        </mc:Choice>
        <mc:Fallback>
          <w:pict>
            <v:rect id="shape_0" ID="Cuadro de texto 2" path="m0,0l-2147483645,0l-2147483645,-2147483646l0,-2147483646xe" fillcolor="white" stroked="f" o:allowincell="f" style="position:absolute;margin-left:-228.55pt;margin-top:328.3pt;width:407.3pt;height:44.15pt;mso-wrap-style:square;v-text-anchor:top;rotation:270" wp14:anchorId="53BBB3C4">
              <v:fill o:detectmouseclick="t" type="solid" color2="black"/>
              <v:stroke color="#3465a4" weight="6480" joinstyle="round" endcap="flat"/>
              <v:textbox>
                <w:txbxContent>
                  <w:p>
                    <w:pPr>
                      <w:pStyle w:val="Cabecera"/>
                      <w:jc w:val="center"/>
                      <w:rPr>
                        <w:rFonts w:ascii="Tahoma" w:hAnsi="Tahoma" w:cs="Tahoma"/>
                        <w:b/>
                        <w:b/>
                        <w:color w:val="3E5F27"/>
                        <w:sz w:val="32"/>
                      </w:rPr>
                    </w:pPr>
                    <w:r>
                      <w:rPr>
                        <w:rFonts w:cs="Tahoma" w:ascii="Tahoma" w:hAnsi="Tahoma"/>
                        <w:b/>
                        <w:color w:val="3E5F27"/>
                        <w:sz w:val="32"/>
                      </w:rPr>
                      <w:t>PRENTSA OHARRA – NOTA DE PRENSA</w:t>
                    </w:r>
                  </w:p>
                  <w:p>
                    <w:pPr>
                      <w:pStyle w:val="Contenidodelmarco"/>
                      <w:spacing w:before="0" w:after="160"/>
                      <w:rPr/>
                    </w:pPr>
                    <w:r>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00e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1">
    <w:name w:val="Heading 1"/>
    <w:basedOn w:val="Normal"/>
    <w:next w:val="Normal"/>
    <w:link w:val="Ttulo1Car"/>
    <w:uiPriority w:val="9"/>
    <w:qFormat/>
    <w:rsid w:val="00ab7c67"/>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unhideWhenUsed/>
    <w:qFormat/>
    <w:rsid w:val="00ab7c67"/>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b00e0"/>
    <w:rPr/>
  </w:style>
  <w:style w:type="character" w:styleId="PiedepginaCar" w:customStyle="1">
    <w:name w:val="Pie de página Car"/>
    <w:basedOn w:val="DefaultParagraphFont"/>
    <w:uiPriority w:val="99"/>
    <w:qFormat/>
    <w:rsid w:val="00bb00e0"/>
    <w:rPr/>
  </w:style>
  <w:style w:type="character" w:styleId="Ttulo2Car" w:customStyle="1">
    <w:name w:val="Título 2 Car"/>
    <w:basedOn w:val="DefaultParagraphFont"/>
    <w:uiPriority w:val="9"/>
    <w:qFormat/>
    <w:rsid w:val="00ab7c67"/>
    <w:rPr>
      <w:rFonts w:ascii="Calibri Light" w:hAnsi="Calibri Light" w:eastAsia="" w:cs="" w:asciiTheme="majorHAnsi" w:cstheme="majorBidi" w:eastAsiaTheme="majorEastAsia" w:hAnsiTheme="majorHAnsi"/>
      <w:color w:val="2F5496" w:themeColor="accent1" w:themeShade="bf"/>
      <w:sz w:val="26"/>
      <w:szCs w:val="26"/>
    </w:rPr>
  </w:style>
  <w:style w:type="character" w:styleId="Ttulo1Car" w:customStyle="1">
    <w:name w:val="Título 1 Car"/>
    <w:basedOn w:val="DefaultParagraphFont"/>
    <w:uiPriority w:val="9"/>
    <w:qFormat/>
    <w:rsid w:val="00ab7c67"/>
    <w:rPr>
      <w:rFonts w:ascii="Calibri Light" w:hAnsi="Calibri Light" w:eastAsia="" w:cs="" w:asciiTheme="majorHAnsi" w:cstheme="majorBidi" w:eastAsiaTheme="majorEastAsia" w:hAnsiTheme="majorHAnsi"/>
      <w:color w:val="2F5496" w:themeColor="accent1" w:themeShade="bf"/>
      <w:sz w:val="32"/>
      <w:szCs w:val="32"/>
    </w:rPr>
  </w:style>
  <w:style w:type="character" w:styleId="EnlacedeInternet">
    <w:name w:val="Hyperlink"/>
    <w:basedOn w:val="DefaultParagraphFont"/>
    <w:uiPriority w:val="99"/>
    <w:unhideWhenUsed/>
    <w:rsid w:val="00aa4a20"/>
    <w:rPr>
      <w:color w:val="0563C1" w:themeColor="hyperlink"/>
      <w:u w:val="single"/>
    </w:rPr>
  </w:style>
  <w:style w:type="character" w:styleId="UnresolvedMention">
    <w:name w:val="Unresolved Mention"/>
    <w:basedOn w:val="DefaultParagraphFont"/>
    <w:uiPriority w:val="99"/>
    <w:semiHidden/>
    <w:unhideWhenUsed/>
    <w:qFormat/>
    <w:rsid w:val="00aa4a20"/>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unhideWhenUsed/>
    <w:rsid w:val="00bb00e0"/>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bb00e0"/>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bb00e0"/>
    <w:pPr>
      <w:spacing w:lineRule="auto" w:line="240" w:beforeAutospacing="1" w:afterAutospacing="1"/>
    </w:pPr>
    <w:rPr>
      <w:rFonts w:ascii="Times New Roman" w:hAnsi="Times New Roman" w:eastAsia="Times New Roman" w:cs="Times New Roman"/>
      <w:sz w:val="24"/>
      <w:szCs w:val="24"/>
      <w:lang w:eastAsia="es-ES"/>
    </w:rPr>
  </w:style>
  <w:style w:type="paragraph" w:styleId="ListParagraph">
    <w:name w:val="List Paragraph"/>
    <w:basedOn w:val="Normal"/>
    <w:uiPriority w:val="34"/>
    <w:qFormat/>
    <w:rsid w:val="00a4436e"/>
    <w:pPr>
      <w:spacing w:lineRule="auto" w:line="276" w:before="0" w:after="200"/>
      <w:ind w:left="720" w:hanging="0"/>
      <w:contextualSpacing/>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Application>LibreOffice/7.4.7.2$Windows_X86_64 LibreOffice_project/723314e595e8007d3cf785c16538505a1c878ca5</Application>
  <AppVersion>15.0000</AppVersion>
  <Pages>2</Pages>
  <Words>347</Words>
  <Characters>2539</Characters>
  <CharactersWithSpaces>2879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2021-08-26T08:49:00Z</dcterms:created>
  <dc:creator/>
  <dc:description/>
  <dc:language>es-ES</dc:language>
  <cp:lastModifiedBy/>
  <dcterms:modified xsi:type="dcterms:W3CDTF">2024-11-12T10:40:54Z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